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numPr>
          <w:ilvl w:val="0"/>
          <w:numId w:val="0"/>
        </w:numPr>
        <w:kinsoku/>
        <w:wordWrap/>
        <w:overflowPunct/>
        <w:topLinePunct w:val="0"/>
        <w:autoSpaceDE/>
        <w:autoSpaceDN/>
        <w:bidi w:val="0"/>
        <w:adjustRightInd/>
        <w:snapToGrid/>
        <w:spacing w:beforeLines="50" w:line="600" w:lineRule="exact"/>
        <w:textAlignment w:val="auto"/>
        <w:rPr>
          <w:rFonts w:hint="eastAsia" w:ascii="方正小标宋简体" w:hAnsi="方正小标宋简体" w:eastAsia="方正小标宋简体" w:cs="方正小标宋简体"/>
          <w:sz w:val="44"/>
          <w:szCs w:val="56"/>
        </w:rPr>
      </w:pPr>
      <w:r>
        <w:rPr>
          <w:rFonts w:hint="eastAsia" w:ascii="方正小标宋简体" w:hAnsi="方正小标宋简体" w:eastAsia="方正小标宋简体" w:cs="方正小标宋简体"/>
          <w:sz w:val="44"/>
          <w:szCs w:val="56"/>
        </w:rPr>
        <w:t>四川电力中长期及现货市场信息披露</w:t>
      </w:r>
    </w:p>
    <w:p>
      <w:pPr>
        <w:pStyle w:val="2"/>
        <w:keepNext/>
        <w:keepLines/>
        <w:pageBreakBefore w:val="0"/>
        <w:widowControl/>
        <w:numPr>
          <w:ilvl w:val="0"/>
          <w:numId w:val="0"/>
        </w:numPr>
        <w:kinsoku/>
        <w:wordWrap/>
        <w:overflowPunct/>
        <w:topLinePunct w:val="0"/>
        <w:autoSpaceDE/>
        <w:autoSpaceDN/>
        <w:bidi w:val="0"/>
        <w:adjustRightInd/>
        <w:snapToGrid/>
        <w:spacing w:beforeLines="50" w:line="600" w:lineRule="exact"/>
        <w:textAlignment w:val="auto"/>
        <w:rPr>
          <w:rFonts w:hint="eastAsia" w:ascii="方正小标宋简体" w:hAnsi="方正小标宋简体" w:eastAsia="方正小标宋简体" w:cs="方正小标宋简体"/>
          <w:sz w:val="44"/>
          <w:szCs w:val="56"/>
        </w:rPr>
      </w:pPr>
      <w:r>
        <w:rPr>
          <w:rFonts w:hint="eastAsia" w:ascii="方正小标宋简体" w:hAnsi="方正小标宋简体" w:eastAsia="方正小标宋简体" w:cs="方正小标宋简体"/>
          <w:sz w:val="44"/>
          <w:szCs w:val="56"/>
        </w:rPr>
        <w:t>管理办法（</w:t>
      </w:r>
      <w:r>
        <w:rPr>
          <w:rFonts w:hint="eastAsia" w:ascii="方正小标宋简体" w:hAnsi="方正小标宋简体" w:eastAsia="方正小标宋简体" w:cs="方正小标宋简体"/>
          <w:sz w:val="44"/>
          <w:szCs w:val="56"/>
          <w:lang w:val="en-US" w:eastAsia="zh-CN"/>
        </w:rPr>
        <w:t>征求意见</w:t>
      </w:r>
      <w:r>
        <w:rPr>
          <w:rFonts w:hint="eastAsia" w:ascii="方正小标宋简体" w:hAnsi="方正小标宋简体" w:eastAsia="方正小标宋简体" w:cs="方正小标宋简体"/>
          <w:sz w:val="44"/>
          <w:szCs w:val="56"/>
        </w:rPr>
        <w:t>稿）</w:t>
      </w:r>
    </w:p>
    <w:p>
      <w:pPr>
        <w:ind w:firstLine="640"/>
      </w:pPr>
    </w:p>
    <w:p>
      <w:pPr>
        <w:pStyle w:val="2"/>
        <w:pageBreakBefore w:val="0"/>
        <w:kinsoku/>
        <w:wordWrap/>
        <w:overflowPunct/>
        <w:topLinePunct w:val="0"/>
        <w:autoSpaceDE/>
        <w:autoSpaceDN/>
        <w:bidi w:val="0"/>
        <w:adjustRightInd/>
        <w:snapToGrid/>
        <w:spacing w:line="560" w:lineRule="exact"/>
        <w:textAlignment w:val="auto"/>
      </w:pPr>
      <w:r>
        <w:rPr>
          <w:rFonts w:hint="eastAsia"/>
        </w:rPr>
        <w:t>总则</w:t>
      </w:r>
    </w:p>
    <w:p>
      <w:pPr>
        <w:pageBreakBefore w:val="0"/>
        <w:widowControl/>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560" w:lineRule="exact"/>
        <w:ind w:firstLine="0"/>
        <w:jc w:val="both"/>
        <w:textAlignment w:val="auto"/>
        <w:rPr>
          <w:color w:val="auto"/>
        </w:rPr>
      </w:pPr>
      <w:r>
        <w:rPr>
          <w:rFonts w:hint="eastAsia"/>
          <w:color w:val="auto"/>
        </w:rPr>
        <w:t>为规范四川电力市场的信息披露工作，维护市场主体合法权益，保障四川电力市场安全有序运转，</w:t>
      </w:r>
      <w:r>
        <w:rPr>
          <w:color w:val="auto"/>
        </w:rPr>
        <w:t>依据《中共中央国务院关于进一步深化电力体制改革的若干意见》（中发〔2015〕9号）及其配套文件、《电力监管条例》（中华人民共和国国务院令第432号）</w:t>
      </w:r>
      <w:r>
        <w:rPr>
          <w:rFonts w:hint="eastAsia"/>
          <w:color w:val="auto"/>
        </w:rPr>
        <w:t>、《电力企业信息披露规定》（电监会14号令）、《发展改革委能源局关于印发&lt;电力中长期交易基本规则&gt;的通知》（发改能源规〔2020〕889号）、《国家能源局关于印发&lt;电力现货市场信息披露办法（暂行）&gt;的通知》（国能发监管〔2020〕56号）、</w:t>
      </w:r>
      <w:r>
        <w:rPr>
          <w:rFonts w:hint="eastAsia" w:ascii="Times New Roman" w:hAnsi="Times New Roman" w:eastAsia="仿宋_GB2312" w:cstheme="minorBidi"/>
          <w:i w:val="0"/>
          <w:iCs w:val="0"/>
          <w:caps w:val="0"/>
          <w:color w:val="auto"/>
          <w:spacing w:val="0"/>
          <w:kern w:val="2"/>
          <w:sz w:val="32"/>
          <w:szCs w:val="21"/>
          <w:shd w:val="clear"/>
          <w:lang w:val="en-US" w:eastAsia="zh-CN" w:bidi="ar"/>
        </w:rPr>
        <w:t>《</w:t>
      </w:r>
      <w:r>
        <w:rPr>
          <w:rStyle w:val="22"/>
          <w:rFonts w:hint="eastAsia" w:ascii="Times New Roman" w:hAnsi="Times New Roman" w:eastAsia="仿宋_GB2312" w:cstheme="minorBidi"/>
          <w:i w:val="0"/>
          <w:iCs w:val="0"/>
          <w:caps w:val="0"/>
          <w:color w:val="auto"/>
          <w:spacing w:val="0"/>
          <w:kern w:val="2"/>
          <w:sz w:val="32"/>
          <w:szCs w:val="21"/>
          <w:shd w:val="clear"/>
          <w:lang w:val="en-US" w:eastAsia="zh-CN" w:bidi="ar"/>
        </w:rPr>
        <w:t>国家发展改革委 国家能源局关于印发</w:t>
      </w:r>
      <w:r>
        <w:rPr>
          <w:rFonts w:hint="eastAsia"/>
          <w:color w:val="auto"/>
        </w:rPr>
        <w:t>&lt;</w:t>
      </w:r>
      <w:r>
        <w:rPr>
          <w:rStyle w:val="22"/>
          <w:rFonts w:hint="eastAsia" w:ascii="Times New Roman" w:hAnsi="Times New Roman" w:eastAsia="仿宋_GB2312" w:cstheme="minorBidi"/>
          <w:i w:val="0"/>
          <w:iCs w:val="0"/>
          <w:caps w:val="0"/>
          <w:color w:val="auto"/>
          <w:spacing w:val="0"/>
          <w:kern w:val="2"/>
          <w:sz w:val="32"/>
          <w:szCs w:val="21"/>
          <w:shd w:val="clear"/>
          <w:lang w:val="en-US" w:eastAsia="zh-CN" w:bidi="ar"/>
        </w:rPr>
        <w:t>售电公司管理办法</w:t>
      </w:r>
      <w:r>
        <w:rPr>
          <w:rFonts w:hint="eastAsia"/>
          <w:color w:val="auto"/>
        </w:rPr>
        <w:t>&gt;</w:t>
      </w:r>
      <w:r>
        <w:rPr>
          <w:rStyle w:val="22"/>
          <w:rFonts w:hint="eastAsia" w:ascii="Times New Roman" w:hAnsi="Times New Roman" w:eastAsia="仿宋_GB2312" w:cstheme="minorBidi"/>
          <w:i w:val="0"/>
          <w:iCs w:val="0"/>
          <w:caps w:val="0"/>
          <w:color w:val="auto"/>
          <w:spacing w:val="0"/>
          <w:kern w:val="2"/>
          <w:sz w:val="32"/>
          <w:szCs w:val="21"/>
          <w:shd w:val="clear"/>
          <w:lang w:val="en-US" w:eastAsia="zh-CN" w:bidi="ar"/>
        </w:rPr>
        <w:t>的通知</w:t>
      </w:r>
      <w:r>
        <w:rPr>
          <w:rFonts w:hint="eastAsia" w:ascii="Times New Roman" w:hAnsi="Times New Roman" w:eastAsia="仿宋_GB2312" w:cstheme="minorBidi"/>
          <w:i w:val="0"/>
          <w:iCs w:val="0"/>
          <w:caps w:val="0"/>
          <w:color w:val="auto"/>
          <w:spacing w:val="0"/>
          <w:kern w:val="2"/>
          <w:sz w:val="32"/>
          <w:szCs w:val="21"/>
          <w:shd w:val="clear"/>
          <w:lang w:val="en-US" w:eastAsia="zh-CN" w:bidi="ar"/>
        </w:rPr>
        <w:t>》</w:t>
      </w:r>
      <w:r>
        <w:rPr>
          <w:rFonts w:hint="eastAsia" w:cstheme="minorBidi"/>
          <w:i w:val="0"/>
          <w:iCs w:val="0"/>
          <w:caps w:val="0"/>
          <w:color w:val="auto"/>
          <w:spacing w:val="0"/>
          <w:kern w:val="2"/>
          <w:sz w:val="32"/>
          <w:szCs w:val="21"/>
          <w:shd w:val="clear"/>
          <w:lang w:val="en-US" w:eastAsia="zh-CN" w:bidi="ar"/>
        </w:rPr>
        <w:t>（</w:t>
      </w:r>
      <w:r>
        <w:rPr>
          <w:rFonts w:hint="eastAsia" w:ascii="Times New Roman" w:hAnsi="Times New Roman" w:eastAsia="仿宋_GB2312" w:cstheme="minorBidi"/>
          <w:i w:val="0"/>
          <w:iCs w:val="0"/>
          <w:caps w:val="0"/>
          <w:color w:val="auto"/>
          <w:spacing w:val="0"/>
          <w:sz w:val="32"/>
          <w:szCs w:val="21"/>
          <w:shd w:val="clear" w:fill="FFFFFF"/>
        </w:rPr>
        <w:t>发改体改规〔2021〕1595号</w:t>
      </w:r>
      <w:r>
        <w:rPr>
          <w:rFonts w:hint="eastAsia" w:cstheme="minorBidi"/>
          <w:i w:val="0"/>
          <w:iCs w:val="0"/>
          <w:caps w:val="0"/>
          <w:color w:val="auto"/>
          <w:spacing w:val="0"/>
          <w:kern w:val="2"/>
          <w:sz w:val="32"/>
          <w:szCs w:val="21"/>
          <w:shd w:val="clear"/>
          <w:lang w:val="en-US" w:eastAsia="zh-CN" w:bidi="ar"/>
        </w:rPr>
        <w:t>）、</w:t>
      </w:r>
      <w:r>
        <w:rPr>
          <w:rFonts w:hint="eastAsia"/>
          <w:color w:val="auto"/>
        </w:rPr>
        <w:t>《四川电力中长期交易规则》（川监能市场〔2021〕11号）、《国家发展改革委办公厅关于组织开展电网企业代理购电有关事项的通知》（发改办价格〔2021〕809号）</w:t>
      </w:r>
      <w:r>
        <w:rPr>
          <w:color w:val="auto"/>
        </w:rPr>
        <w:t>等有关规定，结合</w:t>
      </w:r>
      <w:r>
        <w:rPr>
          <w:rFonts w:hint="eastAsia"/>
          <w:color w:val="auto"/>
        </w:rPr>
        <w:t>四川</w:t>
      </w:r>
      <w:r>
        <w:rPr>
          <w:color w:val="auto"/>
        </w:rPr>
        <w:t>电力市场实践，制定本办法。</w:t>
      </w:r>
    </w:p>
    <w:p>
      <w:pPr>
        <w:pStyle w:val="45"/>
        <w:pageBreakBefore w:val="0"/>
        <w:kinsoku/>
        <w:wordWrap/>
        <w:overflowPunct/>
        <w:topLinePunct w:val="0"/>
        <w:autoSpaceDE/>
        <w:autoSpaceDN/>
        <w:bidi w:val="0"/>
        <w:adjustRightInd/>
        <w:snapToGrid/>
        <w:spacing w:line="560" w:lineRule="exact"/>
        <w:ind w:firstLine="640"/>
        <w:textAlignment w:val="auto"/>
        <w:rPr>
          <w:color w:val="auto"/>
        </w:rPr>
      </w:pPr>
      <w:r>
        <w:rPr>
          <w:rFonts w:hint="eastAsia"/>
          <w:color w:val="auto"/>
        </w:rPr>
        <w:t>本办法适用于四川电力中长期、电力现货市场的信息披露管理。</w:t>
      </w:r>
    </w:p>
    <w:p>
      <w:pPr>
        <w:pStyle w:val="45"/>
        <w:pageBreakBefore w:val="0"/>
        <w:kinsoku/>
        <w:wordWrap/>
        <w:overflowPunct/>
        <w:topLinePunct w:val="0"/>
        <w:autoSpaceDE/>
        <w:autoSpaceDN/>
        <w:bidi w:val="0"/>
        <w:adjustRightInd/>
        <w:snapToGrid/>
        <w:spacing w:line="560" w:lineRule="exact"/>
        <w:ind w:firstLine="640"/>
        <w:textAlignment w:val="auto"/>
        <w:rPr>
          <w:color w:val="auto"/>
        </w:rPr>
      </w:pPr>
      <w:r>
        <w:rPr>
          <w:color w:val="auto"/>
        </w:rPr>
        <w:t>本办法所称信息披露主体是指参与电力市场的市场成员，包括发电企业、电网企业、</w:t>
      </w:r>
      <w:r>
        <w:rPr>
          <w:rFonts w:hint="eastAsia"/>
          <w:color w:val="auto"/>
        </w:rPr>
        <w:t>配</w:t>
      </w:r>
      <w:r>
        <w:rPr>
          <w:color w:val="auto"/>
        </w:rPr>
        <w:t>售电公司、电力用户</w:t>
      </w:r>
      <w:r>
        <w:rPr>
          <w:rFonts w:hint="eastAsia"/>
          <w:color w:val="auto"/>
        </w:rPr>
        <w:t>、储能企业</w:t>
      </w:r>
      <w:r>
        <w:rPr>
          <w:color w:val="auto"/>
        </w:rPr>
        <w:t>和市场运营机构。市场运营机构包括电力交易机构和电力调度机构。</w:t>
      </w:r>
    </w:p>
    <w:p>
      <w:pPr>
        <w:pStyle w:val="45"/>
        <w:pageBreakBefore w:val="0"/>
        <w:kinsoku/>
        <w:wordWrap/>
        <w:overflowPunct/>
        <w:topLinePunct w:val="0"/>
        <w:autoSpaceDE/>
        <w:autoSpaceDN/>
        <w:bidi w:val="0"/>
        <w:adjustRightInd/>
        <w:snapToGrid/>
        <w:spacing w:line="560" w:lineRule="exact"/>
        <w:ind w:firstLine="640"/>
        <w:textAlignment w:val="auto"/>
        <w:rPr>
          <w:color w:val="auto"/>
        </w:rPr>
      </w:pPr>
      <w:r>
        <w:rPr>
          <w:color w:val="auto"/>
        </w:rPr>
        <w:t>本办法所称市场主体是指参与电能量买卖或者辅助服务买卖的市场成员。</w:t>
      </w:r>
    </w:p>
    <w:p>
      <w:pPr>
        <w:pStyle w:val="45"/>
        <w:pageBreakBefore w:val="0"/>
        <w:kinsoku/>
        <w:wordWrap/>
        <w:overflowPunct/>
        <w:topLinePunct w:val="0"/>
        <w:autoSpaceDE/>
        <w:autoSpaceDN/>
        <w:bidi w:val="0"/>
        <w:adjustRightInd/>
        <w:snapToGrid/>
        <w:spacing w:line="560" w:lineRule="exact"/>
        <w:ind w:firstLine="640"/>
        <w:textAlignment w:val="auto"/>
        <w:rPr>
          <w:color w:val="auto"/>
        </w:rPr>
      </w:pPr>
      <w:r>
        <w:rPr>
          <w:color w:val="auto"/>
        </w:rPr>
        <w:t>本办法所称信息披露是指信息披露主体提供、发布与电力市场相关信息的行为。</w:t>
      </w:r>
    </w:p>
    <w:p>
      <w:pPr>
        <w:pStyle w:val="45"/>
        <w:pageBreakBefore w:val="0"/>
        <w:kinsoku/>
        <w:wordWrap/>
        <w:overflowPunct/>
        <w:topLinePunct w:val="0"/>
        <w:autoSpaceDE/>
        <w:autoSpaceDN/>
        <w:bidi w:val="0"/>
        <w:adjustRightInd/>
        <w:snapToGrid/>
        <w:spacing w:line="560" w:lineRule="exact"/>
        <w:ind w:firstLine="640"/>
        <w:textAlignment w:val="auto"/>
        <w:rPr>
          <w:color w:val="auto"/>
        </w:rPr>
      </w:pPr>
      <w:r>
        <w:rPr>
          <w:rFonts w:hint="eastAsia"/>
          <w:color w:val="auto"/>
        </w:rPr>
        <w:t>国家能源局四川监管办公室（以下简称“四川能源监管办”）负责制定四川电力市场信息披露相关管理办法，可以根据市场发展、工作需要等适时调整市场成员披露信息的范围、内容和方式。</w:t>
      </w:r>
    </w:p>
    <w:p>
      <w:pPr>
        <w:pStyle w:val="45"/>
        <w:pageBreakBefore w:val="0"/>
        <w:kinsoku/>
        <w:wordWrap/>
        <w:overflowPunct/>
        <w:topLinePunct w:val="0"/>
        <w:autoSpaceDE/>
        <w:autoSpaceDN/>
        <w:bidi w:val="0"/>
        <w:adjustRightInd/>
        <w:snapToGrid/>
        <w:spacing w:line="560" w:lineRule="exact"/>
        <w:ind w:firstLine="640"/>
        <w:textAlignment w:val="auto"/>
        <w:rPr>
          <w:color w:val="auto"/>
        </w:rPr>
      </w:pPr>
      <w:r>
        <w:rPr>
          <w:rFonts w:hint="eastAsia"/>
          <w:color w:val="auto"/>
        </w:rPr>
        <w:t>四川能源监管办依法对市场成员的信息披露行为进行监管。</w:t>
      </w:r>
    </w:p>
    <w:p>
      <w:pPr>
        <w:pageBreakBefore w:val="0"/>
        <w:kinsoku/>
        <w:wordWrap/>
        <w:overflowPunct/>
        <w:topLinePunct w:val="0"/>
        <w:autoSpaceDE/>
        <w:autoSpaceDN/>
        <w:bidi w:val="0"/>
        <w:adjustRightInd/>
        <w:snapToGrid/>
        <w:spacing w:line="560" w:lineRule="exact"/>
        <w:ind w:firstLine="640"/>
        <w:textAlignment w:val="auto"/>
      </w:pPr>
    </w:p>
    <w:p>
      <w:pPr>
        <w:pStyle w:val="2"/>
        <w:pageBreakBefore w:val="0"/>
        <w:kinsoku/>
        <w:wordWrap/>
        <w:overflowPunct/>
        <w:topLinePunct w:val="0"/>
        <w:autoSpaceDE/>
        <w:autoSpaceDN/>
        <w:bidi w:val="0"/>
        <w:adjustRightInd/>
        <w:snapToGrid/>
        <w:spacing w:line="560" w:lineRule="exact"/>
        <w:textAlignment w:val="auto"/>
      </w:pPr>
      <w:r>
        <w:rPr>
          <w:rFonts w:hint="eastAsia"/>
        </w:rPr>
        <w:t>披露原则</w:t>
      </w:r>
    </w:p>
    <w:p>
      <w:pPr>
        <w:pStyle w:val="45"/>
        <w:pageBreakBefore w:val="0"/>
        <w:kinsoku/>
        <w:wordWrap/>
        <w:overflowPunct/>
        <w:topLinePunct w:val="0"/>
        <w:autoSpaceDE/>
        <w:autoSpaceDN/>
        <w:bidi w:val="0"/>
        <w:adjustRightInd/>
        <w:snapToGrid/>
        <w:spacing w:line="560" w:lineRule="exact"/>
        <w:ind w:firstLine="640"/>
        <w:textAlignment w:val="auto"/>
        <w:rPr>
          <w:color w:val="auto"/>
        </w:rPr>
      </w:pPr>
      <w:r>
        <w:rPr>
          <w:color w:val="auto"/>
        </w:rPr>
        <w:t>信息披露应当遵循真实、准确、完整、及时、易于使用的原则。</w:t>
      </w:r>
    </w:p>
    <w:p>
      <w:pPr>
        <w:pStyle w:val="45"/>
        <w:pageBreakBefore w:val="0"/>
        <w:kinsoku/>
        <w:wordWrap/>
        <w:overflowPunct/>
        <w:topLinePunct w:val="0"/>
        <w:autoSpaceDE/>
        <w:autoSpaceDN/>
        <w:bidi w:val="0"/>
        <w:adjustRightInd/>
        <w:snapToGrid/>
        <w:spacing w:line="560" w:lineRule="exact"/>
        <w:ind w:firstLine="640"/>
        <w:textAlignment w:val="auto"/>
        <w:rPr>
          <w:color w:val="auto"/>
        </w:rPr>
      </w:pPr>
      <w:r>
        <w:rPr>
          <w:color w:val="auto"/>
        </w:rPr>
        <w:t>市场竞争所需信息应当充分披露，信息披露主体对其</w:t>
      </w:r>
      <w:r>
        <w:rPr>
          <w:rFonts w:hint="eastAsia"/>
          <w:color w:val="auto"/>
        </w:rPr>
        <w:t>披露</w:t>
      </w:r>
      <w:r>
        <w:rPr>
          <w:color w:val="auto"/>
        </w:rPr>
        <w:t>信息的真实性、准确性、完整性负责。</w:t>
      </w:r>
    </w:p>
    <w:p>
      <w:pPr>
        <w:pStyle w:val="45"/>
        <w:pageBreakBefore w:val="0"/>
        <w:kinsoku/>
        <w:wordWrap/>
        <w:overflowPunct/>
        <w:topLinePunct w:val="0"/>
        <w:autoSpaceDE/>
        <w:autoSpaceDN/>
        <w:bidi w:val="0"/>
        <w:adjustRightInd/>
        <w:snapToGrid/>
        <w:spacing w:line="560" w:lineRule="exact"/>
        <w:ind w:firstLine="640"/>
        <w:textAlignment w:val="auto"/>
        <w:rPr>
          <w:color w:val="auto"/>
        </w:rPr>
      </w:pPr>
      <w:r>
        <w:rPr>
          <w:color w:val="auto"/>
        </w:rPr>
        <w:t>电力交易机构总体负责电力市场信息披露的实施</w:t>
      </w:r>
      <w:r>
        <w:rPr>
          <w:rFonts w:hint="eastAsia"/>
          <w:color w:val="auto"/>
        </w:rPr>
        <w:t>，</w:t>
      </w:r>
      <w:r>
        <w:rPr>
          <w:color w:val="auto"/>
        </w:rPr>
        <w:t>电力交易机构应当设立信息披露平台，制定信息披露标准格式，开放数据接口</w:t>
      </w:r>
      <w:r>
        <w:rPr>
          <w:rFonts w:hint="eastAsia"/>
          <w:color w:val="auto"/>
        </w:rPr>
        <w:t>，</w:t>
      </w:r>
      <w:r>
        <w:rPr>
          <w:color w:val="auto"/>
        </w:rPr>
        <w:t>创造良好的信息披露条件，</w:t>
      </w:r>
      <w:r>
        <w:rPr>
          <w:rFonts w:hint="eastAsia"/>
          <w:color w:val="auto"/>
        </w:rPr>
        <w:t>为披露主体披露信息和查询信息提供便利</w:t>
      </w:r>
      <w:r>
        <w:rPr>
          <w:color w:val="auto"/>
        </w:rPr>
        <w:t>。</w:t>
      </w:r>
    </w:p>
    <w:p>
      <w:pPr>
        <w:pStyle w:val="45"/>
        <w:pageBreakBefore w:val="0"/>
        <w:kinsoku/>
        <w:wordWrap/>
        <w:overflowPunct/>
        <w:topLinePunct w:val="0"/>
        <w:autoSpaceDE/>
        <w:autoSpaceDN/>
        <w:bidi w:val="0"/>
        <w:adjustRightInd/>
        <w:snapToGrid/>
        <w:spacing w:line="560" w:lineRule="exact"/>
        <w:ind w:firstLine="640"/>
        <w:textAlignment w:val="auto"/>
        <w:rPr>
          <w:color w:val="auto"/>
        </w:rPr>
      </w:pPr>
      <w:r>
        <w:rPr>
          <w:color w:val="auto"/>
        </w:rPr>
        <w:t>信息披露主体按照</w:t>
      </w:r>
      <w:r>
        <w:rPr>
          <w:rFonts w:hint="eastAsia"/>
          <w:color w:val="auto"/>
        </w:rPr>
        <w:t>电力交易机构制定的</w:t>
      </w:r>
      <w:r>
        <w:rPr>
          <w:color w:val="auto"/>
        </w:rPr>
        <w:t>标准格式</w:t>
      </w:r>
      <w:r>
        <w:rPr>
          <w:rFonts w:hint="eastAsia"/>
          <w:color w:val="auto"/>
        </w:rPr>
        <w:t>，</w:t>
      </w:r>
      <w:r>
        <w:rPr>
          <w:color w:val="auto"/>
        </w:rPr>
        <w:t>通过信息披露平台</w:t>
      </w:r>
      <w:r>
        <w:rPr>
          <w:rFonts w:hint="eastAsia"/>
          <w:color w:val="auto"/>
        </w:rPr>
        <w:t>填报、</w:t>
      </w:r>
      <w:r>
        <w:rPr>
          <w:color w:val="auto"/>
        </w:rPr>
        <w:t>发布信息。</w:t>
      </w:r>
    </w:p>
    <w:p>
      <w:pPr>
        <w:pStyle w:val="2"/>
        <w:pageBreakBefore w:val="0"/>
        <w:kinsoku/>
        <w:wordWrap/>
        <w:overflowPunct/>
        <w:topLinePunct w:val="0"/>
        <w:autoSpaceDE/>
        <w:autoSpaceDN/>
        <w:bidi w:val="0"/>
        <w:adjustRightInd/>
        <w:snapToGrid/>
        <w:spacing w:line="560" w:lineRule="exact"/>
        <w:textAlignment w:val="auto"/>
      </w:pPr>
      <w:r>
        <w:rPr>
          <w:rFonts w:hint="eastAsia"/>
        </w:rPr>
        <w:t>信息披露内容</w:t>
      </w:r>
    </w:p>
    <w:p>
      <w:pPr>
        <w:pStyle w:val="45"/>
        <w:pageBreakBefore w:val="0"/>
        <w:kinsoku/>
        <w:wordWrap/>
        <w:overflowPunct/>
        <w:topLinePunct w:val="0"/>
        <w:autoSpaceDE/>
        <w:autoSpaceDN/>
        <w:bidi w:val="0"/>
        <w:adjustRightInd/>
        <w:snapToGrid/>
        <w:spacing w:line="560" w:lineRule="exact"/>
        <w:ind w:firstLine="640"/>
        <w:textAlignment w:val="auto"/>
        <w:rPr>
          <w:color w:val="auto"/>
        </w:rPr>
      </w:pPr>
      <w:r>
        <w:rPr>
          <w:color w:val="auto"/>
        </w:rPr>
        <w:t>按照信息公开范围，电力市场信息分为公众信息、公开信息、私有信息</w:t>
      </w:r>
      <w:r>
        <w:rPr>
          <w:rFonts w:hint="eastAsia"/>
          <w:color w:val="auto"/>
        </w:rPr>
        <w:t>三</w:t>
      </w:r>
      <w:r>
        <w:rPr>
          <w:color w:val="auto"/>
        </w:rPr>
        <w:t>类。</w:t>
      </w:r>
    </w:p>
    <w:p>
      <w:pPr>
        <w:pageBreakBefore w:val="0"/>
        <w:kinsoku/>
        <w:wordWrap/>
        <w:overflowPunct/>
        <w:topLinePunct w:val="0"/>
        <w:autoSpaceDE/>
        <w:autoSpaceDN/>
        <w:bidi w:val="0"/>
        <w:adjustRightInd/>
        <w:snapToGrid/>
        <w:spacing w:line="560" w:lineRule="exact"/>
        <w:ind w:firstLine="640"/>
        <w:textAlignment w:val="auto"/>
      </w:pPr>
      <w:r>
        <w:rPr>
          <w:rFonts w:hint="eastAsia"/>
        </w:rPr>
        <w:t>（一）</w:t>
      </w:r>
      <w:r>
        <w:t>公众信息：是指向社会公众披露的信息。</w:t>
      </w:r>
    </w:p>
    <w:p>
      <w:pPr>
        <w:pageBreakBefore w:val="0"/>
        <w:kinsoku/>
        <w:wordWrap/>
        <w:overflowPunct/>
        <w:topLinePunct w:val="0"/>
        <w:autoSpaceDE/>
        <w:autoSpaceDN/>
        <w:bidi w:val="0"/>
        <w:adjustRightInd/>
        <w:snapToGrid/>
        <w:spacing w:line="560" w:lineRule="exact"/>
        <w:ind w:firstLine="640"/>
        <w:textAlignment w:val="auto"/>
      </w:pPr>
      <w:r>
        <w:rPr>
          <w:rFonts w:hint="eastAsia"/>
        </w:rPr>
        <w:t>（二）</w:t>
      </w:r>
      <w:r>
        <w:t>公开信息：是指向所有市场成员披露的信息。</w:t>
      </w:r>
    </w:p>
    <w:p>
      <w:pPr>
        <w:pageBreakBefore w:val="0"/>
        <w:kinsoku/>
        <w:wordWrap/>
        <w:overflowPunct/>
        <w:topLinePunct w:val="0"/>
        <w:autoSpaceDE/>
        <w:autoSpaceDN/>
        <w:bidi w:val="0"/>
        <w:adjustRightInd/>
        <w:snapToGrid/>
        <w:spacing w:line="560" w:lineRule="exact"/>
        <w:ind w:firstLine="640"/>
        <w:textAlignment w:val="auto"/>
      </w:pPr>
      <w:r>
        <w:rPr>
          <w:rFonts w:hint="eastAsia"/>
        </w:rPr>
        <w:t>（三）</w:t>
      </w:r>
      <w:r>
        <w:t>私有信息：是指向特定的市场</w:t>
      </w:r>
      <w:r>
        <w:rPr>
          <w:rFonts w:hint="eastAsia"/>
        </w:rPr>
        <w:t>成</w:t>
      </w:r>
      <w:r>
        <w:t>员披露的信息。</w:t>
      </w:r>
    </w:p>
    <w:p>
      <w:pPr>
        <w:pStyle w:val="45"/>
        <w:pageBreakBefore w:val="0"/>
        <w:kinsoku/>
        <w:wordWrap/>
        <w:overflowPunct/>
        <w:topLinePunct w:val="0"/>
        <w:autoSpaceDE/>
        <w:autoSpaceDN/>
        <w:bidi w:val="0"/>
        <w:adjustRightInd/>
        <w:snapToGrid/>
        <w:spacing w:line="560" w:lineRule="exact"/>
        <w:ind w:firstLine="640"/>
        <w:textAlignment w:val="auto"/>
        <w:rPr>
          <w:color w:val="auto"/>
        </w:rPr>
      </w:pPr>
      <w:r>
        <w:rPr>
          <w:rFonts w:hint="eastAsia"/>
          <w:color w:val="auto"/>
        </w:rPr>
        <w:t>按照信息内容，市场成员披露信息的包括但不限于市场成员基本信息、运行信息、交易信息、信用信息、违约信息。其中，运行</w:t>
      </w:r>
      <w:r>
        <w:rPr>
          <w:color w:val="auto"/>
        </w:rPr>
        <w:t>信息包括</w:t>
      </w:r>
      <w:r>
        <w:rPr>
          <w:rFonts w:hint="eastAsia"/>
          <w:color w:val="auto"/>
        </w:rPr>
        <w:t>供</w:t>
      </w:r>
      <w:r>
        <w:rPr>
          <w:color w:val="auto"/>
        </w:rPr>
        <w:t>需预测</w:t>
      </w:r>
      <w:r>
        <w:rPr>
          <w:rFonts w:hint="eastAsia"/>
          <w:color w:val="auto"/>
        </w:rPr>
        <w:t>、</w:t>
      </w:r>
      <w:r>
        <w:rPr>
          <w:color w:val="auto"/>
        </w:rPr>
        <w:t>计划</w:t>
      </w:r>
      <w:r>
        <w:rPr>
          <w:rFonts w:hint="eastAsia"/>
          <w:color w:val="auto"/>
        </w:rPr>
        <w:t>、</w:t>
      </w:r>
      <w:r>
        <w:rPr>
          <w:color w:val="auto"/>
        </w:rPr>
        <w:t>实际</w:t>
      </w:r>
      <w:r>
        <w:rPr>
          <w:rFonts w:hint="eastAsia"/>
          <w:color w:val="auto"/>
        </w:rPr>
        <w:t>执行</w:t>
      </w:r>
      <w:r>
        <w:rPr>
          <w:color w:val="auto"/>
        </w:rPr>
        <w:t>情况等信息，</w:t>
      </w:r>
      <w:r>
        <w:rPr>
          <w:rFonts w:hint="eastAsia"/>
          <w:color w:val="auto"/>
        </w:rPr>
        <w:t>交易信息包括中长期和现货交易组织、交易出清、交易执行、交易结算等信息。</w:t>
      </w:r>
    </w:p>
    <w:p>
      <w:pPr>
        <w:pStyle w:val="45"/>
        <w:pageBreakBefore w:val="0"/>
        <w:kinsoku/>
        <w:wordWrap/>
        <w:overflowPunct/>
        <w:topLinePunct w:val="0"/>
        <w:autoSpaceDE/>
        <w:autoSpaceDN/>
        <w:bidi w:val="0"/>
        <w:adjustRightInd/>
        <w:snapToGrid/>
        <w:spacing w:line="560" w:lineRule="exact"/>
        <w:ind w:firstLine="640"/>
        <w:textAlignment w:val="auto"/>
        <w:rPr>
          <w:color w:val="auto"/>
        </w:rPr>
      </w:pPr>
      <w:r>
        <w:rPr>
          <w:color w:val="auto"/>
        </w:rPr>
        <w:t>任何单位和个人不得超职责范围获取或泄露私有信息。</w:t>
      </w:r>
    </w:p>
    <w:p>
      <w:pPr>
        <w:pStyle w:val="3"/>
        <w:pageBreakBefore w:val="0"/>
        <w:kinsoku/>
        <w:wordWrap/>
        <w:overflowPunct/>
        <w:topLinePunct w:val="0"/>
        <w:autoSpaceDE/>
        <w:autoSpaceDN/>
        <w:bidi w:val="0"/>
        <w:adjustRightInd/>
        <w:snapToGrid/>
        <w:spacing w:line="560" w:lineRule="exact"/>
        <w:textAlignment w:val="auto"/>
      </w:pPr>
      <w:r>
        <w:rPr>
          <w:rFonts w:hint="eastAsia"/>
        </w:rPr>
        <w:t>发电企业</w:t>
      </w:r>
    </w:p>
    <w:p>
      <w:pPr>
        <w:pStyle w:val="45"/>
        <w:pageBreakBefore w:val="0"/>
        <w:kinsoku/>
        <w:wordWrap/>
        <w:overflowPunct/>
        <w:topLinePunct w:val="0"/>
        <w:autoSpaceDE/>
        <w:autoSpaceDN/>
        <w:bidi w:val="0"/>
        <w:adjustRightInd/>
        <w:snapToGrid/>
        <w:spacing w:line="560" w:lineRule="exact"/>
        <w:ind w:left="142" w:firstLine="640"/>
        <w:textAlignment w:val="auto"/>
        <w:rPr>
          <w:color w:val="auto"/>
        </w:rPr>
      </w:pPr>
      <w:r>
        <w:rPr>
          <w:rFonts w:hint="eastAsia"/>
          <w:color w:val="auto"/>
          <w:lang w:val="en-US" w:eastAsia="zh-CN"/>
        </w:rPr>
        <w:t xml:space="preserve"> </w:t>
      </w:r>
      <w:r>
        <w:rPr>
          <w:rFonts w:hint="eastAsia"/>
          <w:color w:val="auto"/>
        </w:rPr>
        <w:t>发电企业应</w:t>
      </w:r>
      <w:r>
        <w:rPr>
          <w:color w:val="auto"/>
        </w:rPr>
        <w:t>披露的</w:t>
      </w:r>
      <w:r>
        <w:rPr>
          <w:rFonts w:hint="eastAsia"/>
          <w:color w:val="auto"/>
        </w:rPr>
        <w:t>基本信息包括但不限于：</w:t>
      </w:r>
    </w:p>
    <w:p>
      <w:pPr>
        <w:pageBreakBefore w:val="0"/>
        <w:kinsoku/>
        <w:wordWrap/>
        <w:overflowPunct/>
        <w:topLinePunct w:val="0"/>
        <w:autoSpaceDE/>
        <w:autoSpaceDN/>
        <w:bidi w:val="0"/>
        <w:adjustRightInd/>
        <w:snapToGrid/>
        <w:spacing w:line="560" w:lineRule="exact"/>
        <w:ind w:firstLine="640"/>
        <w:textAlignment w:val="auto"/>
      </w:pPr>
      <w:r>
        <w:rPr>
          <w:rFonts w:hint="eastAsia"/>
        </w:rPr>
        <w:t>（一）</w:t>
      </w:r>
      <w:r>
        <w:t>企业全称，企</w:t>
      </w:r>
      <w:r>
        <w:rPr>
          <w:rFonts w:hint="eastAsia"/>
        </w:rPr>
        <w:t>业</w:t>
      </w:r>
      <w:r>
        <w:t>性质，所属发电集团，</w:t>
      </w:r>
      <w:r>
        <w:rPr>
          <w:rFonts w:hint="eastAsia"/>
        </w:rPr>
        <w:t>统一社会信用代码（以下简称信用代码），</w:t>
      </w:r>
      <w:r>
        <w:t>股权结构，工商注册时间，营业执照，</w:t>
      </w:r>
      <w:r>
        <w:rPr>
          <w:rFonts w:hint="eastAsia"/>
        </w:rPr>
        <w:t>法定代表人（以下简称法人）</w:t>
      </w:r>
      <w:r>
        <w:t>，联系人，</w:t>
      </w:r>
      <w:r>
        <w:rPr>
          <w:rFonts w:hint="eastAsia"/>
        </w:rPr>
        <w:t>公司电话</w:t>
      </w:r>
      <w:r>
        <w:t>，</w:t>
      </w:r>
      <w:r>
        <w:rPr>
          <w:rFonts w:hint="eastAsia"/>
        </w:rPr>
        <w:t>传真、电子邮箱、通讯地址，电源类型，装机容量</w:t>
      </w:r>
      <w:r>
        <w:t>，</w:t>
      </w:r>
      <w:r>
        <w:rPr>
          <w:rFonts w:hint="eastAsia"/>
        </w:rPr>
        <w:t>所在地区</w:t>
      </w:r>
      <w:r>
        <w:t>，所在流域（公众信息</w:t>
      </w:r>
      <w:r>
        <w:rPr>
          <w:rFonts w:hint="eastAsia"/>
        </w:rPr>
        <w:t>）</w:t>
      </w:r>
      <w:r>
        <w:t>。</w:t>
      </w:r>
    </w:p>
    <w:p>
      <w:pPr>
        <w:pageBreakBefore w:val="0"/>
        <w:kinsoku/>
        <w:wordWrap/>
        <w:overflowPunct/>
        <w:topLinePunct w:val="0"/>
        <w:autoSpaceDE/>
        <w:autoSpaceDN/>
        <w:bidi w:val="0"/>
        <w:adjustRightInd/>
        <w:snapToGrid/>
        <w:spacing w:line="560" w:lineRule="exact"/>
        <w:ind w:firstLine="640"/>
        <w:textAlignment w:val="auto"/>
      </w:pPr>
      <w:r>
        <w:rPr>
          <w:rFonts w:hint="eastAsia"/>
        </w:rPr>
        <w:t>（二）</w:t>
      </w:r>
      <w:r>
        <w:t>电厂机组</w:t>
      </w:r>
      <w:r>
        <w:rPr>
          <w:rFonts w:hint="eastAsia"/>
        </w:rPr>
        <w:t>基本</w:t>
      </w:r>
      <w:r>
        <w:t>信息，包括电厂调度名称、电力业务许可证（发电类）编号、机组调度管辖关系、投运机组台数及编号、单机容量及类型、投运日期、接入电压等级；单机最大出力、核定最低技术出力、核定深调极限出力；机组出力受限的技术类型，如流化床、高背压供热等</w:t>
      </w:r>
      <w:r>
        <w:rPr>
          <w:rFonts w:hint="eastAsia"/>
        </w:rPr>
        <w:t>；并网点，机组批复上网电价，是否存在自供区域及自供区域范围</w:t>
      </w:r>
      <w:r>
        <w:t>（公开信息）</w:t>
      </w:r>
      <w:r>
        <w:rPr>
          <w:rFonts w:hint="eastAsia"/>
        </w:rPr>
        <w:t>。</w:t>
      </w:r>
    </w:p>
    <w:p>
      <w:pPr>
        <w:pageBreakBefore w:val="0"/>
        <w:kinsoku/>
        <w:wordWrap/>
        <w:overflowPunct/>
        <w:topLinePunct w:val="0"/>
        <w:autoSpaceDE/>
        <w:autoSpaceDN/>
        <w:bidi w:val="0"/>
        <w:adjustRightInd/>
        <w:snapToGrid/>
        <w:spacing w:line="560" w:lineRule="exact"/>
        <w:ind w:firstLine="640"/>
        <w:textAlignment w:val="auto"/>
      </w:pPr>
      <w:r>
        <w:rPr>
          <w:rFonts w:hint="eastAsia"/>
        </w:rPr>
        <w:t>（三）</w:t>
      </w:r>
      <w:r>
        <w:t>机组</w:t>
      </w:r>
      <w:r>
        <w:rPr>
          <w:rFonts w:hint="eastAsia"/>
        </w:rPr>
        <w:t>性能参数信息，包括</w:t>
      </w:r>
      <w:r>
        <w:t>爬坡速率、机组最小开停机时间、机组预计并网和解列时间、调频、调压、</w:t>
      </w:r>
      <w:r>
        <w:rPr>
          <w:rFonts w:hint="eastAsia"/>
        </w:rPr>
        <w:t>调峰、</w:t>
      </w:r>
      <w:r>
        <w:t>日内允许启停次数、厂用电率等</w:t>
      </w:r>
      <w:r>
        <w:rPr>
          <w:rFonts w:hint="eastAsia"/>
        </w:rPr>
        <w:t>（</w:t>
      </w:r>
      <w:r>
        <w:t>私有信息，向</w:t>
      </w:r>
      <w:r>
        <w:rPr>
          <w:rFonts w:hint="eastAsia"/>
        </w:rPr>
        <w:t>电</w:t>
      </w:r>
      <w:r>
        <w:t>力调度机构</w:t>
      </w:r>
      <w:r>
        <w:rPr>
          <w:rFonts w:hint="eastAsia"/>
        </w:rPr>
        <w:t>提供）。</w:t>
      </w:r>
    </w:p>
    <w:p>
      <w:pPr>
        <w:pageBreakBefore w:val="0"/>
        <w:kinsoku/>
        <w:wordWrap/>
        <w:overflowPunct/>
        <w:topLinePunct w:val="0"/>
        <w:autoSpaceDE/>
        <w:autoSpaceDN/>
        <w:bidi w:val="0"/>
        <w:adjustRightInd/>
        <w:snapToGrid/>
        <w:spacing w:line="560" w:lineRule="exact"/>
        <w:ind w:firstLine="640"/>
        <w:textAlignment w:val="auto"/>
      </w:pPr>
      <w:r>
        <w:rPr>
          <w:rFonts w:hint="eastAsia"/>
        </w:rPr>
        <w:t>（四）企业变更情况，包括企业减资、合并、分立、解散及申请破产的决定；或者依法进入破产程序、被责令关闭等重大经营信息（公众信息）。</w:t>
      </w:r>
    </w:p>
    <w:p>
      <w:pPr>
        <w:pageBreakBefore w:val="0"/>
        <w:kinsoku/>
        <w:wordWrap/>
        <w:overflowPunct/>
        <w:topLinePunct w:val="0"/>
        <w:autoSpaceDE/>
        <w:autoSpaceDN/>
        <w:bidi w:val="0"/>
        <w:adjustRightInd/>
        <w:snapToGrid/>
        <w:spacing w:line="560" w:lineRule="exact"/>
        <w:ind w:firstLine="640"/>
        <w:textAlignment w:val="auto"/>
      </w:pPr>
      <w:r>
        <w:rPr>
          <w:rFonts w:hint="eastAsia"/>
        </w:rPr>
        <w:t>（五）与其他市场主体之间的关联企业信息（公众信息）。</w:t>
      </w:r>
    </w:p>
    <w:p>
      <w:pPr>
        <w:pageBreakBefore w:val="0"/>
        <w:kinsoku/>
        <w:wordWrap/>
        <w:overflowPunct/>
        <w:topLinePunct w:val="0"/>
        <w:autoSpaceDE/>
        <w:autoSpaceDN/>
        <w:bidi w:val="0"/>
        <w:adjustRightInd/>
        <w:snapToGrid/>
        <w:spacing w:line="560" w:lineRule="exact"/>
        <w:ind w:firstLine="640"/>
        <w:textAlignment w:val="auto"/>
      </w:pPr>
      <w:r>
        <w:rPr>
          <w:rFonts w:hint="eastAsia"/>
        </w:rPr>
        <w:t>（六）</w:t>
      </w:r>
      <w:r>
        <w:t>其他政策法规要求向社会公众公开的信息（公众信息）。</w:t>
      </w:r>
    </w:p>
    <w:p>
      <w:pPr>
        <w:pStyle w:val="45"/>
        <w:pageBreakBefore w:val="0"/>
        <w:kinsoku/>
        <w:wordWrap/>
        <w:overflowPunct/>
        <w:topLinePunct w:val="0"/>
        <w:autoSpaceDE/>
        <w:autoSpaceDN/>
        <w:bidi w:val="0"/>
        <w:adjustRightInd/>
        <w:snapToGrid/>
        <w:spacing w:line="560" w:lineRule="exact"/>
        <w:ind w:left="426" w:firstLine="640"/>
        <w:textAlignment w:val="auto"/>
        <w:rPr>
          <w:color w:val="auto"/>
        </w:rPr>
      </w:pPr>
      <w:r>
        <w:rPr>
          <w:rFonts w:hint="eastAsia"/>
          <w:color w:val="auto"/>
        </w:rPr>
        <w:t>发电企业应披露的运行信息包括但不限于：</w:t>
      </w:r>
    </w:p>
    <w:p>
      <w:pPr>
        <w:pageBreakBefore w:val="0"/>
        <w:kinsoku/>
        <w:wordWrap/>
        <w:overflowPunct/>
        <w:topLinePunct w:val="0"/>
        <w:autoSpaceDE/>
        <w:autoSpaceDN/>
        <w:bidi w:val="0"/>
        <w:adjustRightInd/>
        <w:snapToGrid/>
        <w:spacing w:line="560" w:lineRule="exact"/>
        <w:ind w:firstLine="640"/>
        <w:textAlignment w:val="auto"/>
      </w:pPr>
      <w:r>
        <w:rPr>
          <w:rFonts w:hint="eastAsia"/>
        </w:rPr>
        <w:t>（一）发电企业一次能源供应情况，包括水电</w:t>
      </w:r>
      <w:r>
        <w:t>来水、弃水、水库水位控制情况</w:t>
      </w:r>
      <w:r>
        <w:rPr>
          <w:rFonts w:hint="eastAsia"/>
        </w:rPr>
        <w:t>；火电</w:t>
      </w:r>
      <w:r>
        <w:t>燃料、燃气供应情况、存储情况、燃料供应风险</w:t>
      </w:r>
      <w:r>
        <w:rPr>
          <w:rFonts w:hint="eastAsia"/>
        </w:rPr>
        <w:t>情况；</w:t>
      </w:r>
      <w:r>
        <w:t>风能、太阳能监测信息、气象信息</w:t>
      </w:r>
      <w:r>
        <w:rPr>
          <w:rFonts w:hint="eastAsia"/>
        </w:rPr>
        <w:t>等</w:t>
      </w:r>
      <w:r>
        <w:t>（私有信息，向电力调度机构提供</w:t>
      </w:r>
      <w:r>
        <w:rPr>
          <w:rFonts w:hint="eastAsia"/>
        </w:rPr>
        <w:t>）。</w:t>
      </w:r>
    </w:p>
    <w:p>
      <w:pPr>
        <w:pageBreakBefore w:val="0"/>
        <w:kinsoku/>
        <w:wordWrap/>
        <w:overflowPunct/>
        <w:topLinePunct w:val="0"/>
        <w:autoSpaceDE/>
        <w:autoSpaceDN/>
        <w:bidi w:val="0"/>
        <w:adjustRightInd/>
        <w:snapToGrid/>
        <w:spacing w:line="560" w:lineRule="exact"/>
        <w:ind w:firstLine="640"/>
        <w:textAlignment w:val="auto"/>
      </w:pPr>
      <w:r>
        <w:rPr>
          <w:rFonts w:hint="eastAsia"/>
        </w:rPr>
        <w:t>（二）发电企业预测信息</w:t>
      </w:r>
    </w:p>
    <w:p>
      <w:pPr>
        <w:pageBreakBefore w:val="0"/>
        <w:kinsoku/>
        <w:wordWrap/>
        <w:overflowPunct/>
        <w:topLinePunct w:val="0"/>
        <w:autoSpaceDE/>
        <w:autoSpaceDN/>
        <w:bidi w:val="0"/>
        <w:adjustRightInd/>
        <w:snapToGrid/>
        <w:spacing w:line="560" w:lineRule="exact"/>
        <w:ind w:firstLine="640" w:firstLineChars="0"/>
        <w:textAlignment w:val="auto"/>
      </w:pPr>
      <w:r>
        <w:rPr>
          <w:rFonts w:hint="eastAsia"/>
        </w:rPr>
        <w:t>1、年度预测：</w:t>
      </w:r>
      <w:r>
        <w:t>分月发电能力预测</w:t>
      </w:r>
      <w:r>
        <w:rPr>
          <w:rFonts w:hint="eastAsia"/>
        </w:rPr>
        <w:t>，年度分月参与市场发电能力预测，机组检修及设备改造计划（公开信息）。</w:t>
      </w:r>
    </w:p>
    <w:p>
      <w:pPr>
        <w:pageBreakBefore w:val="0"/>
        <w:kinsoku/>
        <w:wordWrap/>
        <w:overflowPunct/>
        <w:topLinePunct w:val="0"/>
        <w:autoSpaceDE/>
        <w:autoSpaceDN/>
        <w:bidi w:val="0"/>
        <w:adjustRightInd/>
        <w:snapToGrid/>
        <w:spacing w:line="560" w:lineRule="exact"/>
        <w:ind w:firstLine="640" w:firstLineChars="0"/>
        <w:textAlignment w:val="auto"/>
      </w:pPr>
      <w:r>
        <w:rPr>
          <w:rFonts w:hint="eastAsia"/>
        </w:rPr>
        <w:t>2、月度预测：月度最大发电能力预测，机组检修及设备改造计划（公开信息）。</w:t>
      </w:r>
    </w:p>
    <w:p>
      <w:pPr>
        <w:pageBreakBefore w:val="0"/>
        <w:kinsoku/>
        <w:wordWrap/>
        <w:overflowPunct/>
        <w:topLinePunct w:val="0"/>
        <w:autoSpaceDE/>
        <w:autoSpaceDN/>
        <w:bidi w:val="0"/>
        <w:adjustRightInd/>
        <w:snapToGrid/>
        <w:spacing w:line="560" w:lineRule="exact"/>
        <w:ind w:firstLine="640" w:firstLineChars="0"/>
        <w:textAlignment w:val="auto"/>
      </w:pPr>
      <w:r>
        <w:rPr>
          <w:rFonts w:hint="eastAsia"/>
        </w:rPr>
        <w:t>3、日预测：机组检修计划，机组出力受限情况，各类型发电企业日前、实时发电能</w:t>
      </w:r>
      <w:r>
        <w:t>力</w:t>
      </w:r>
      <w:r>
        <w:rPr>
          <w:rFonts w:hint="eastAsia"/>
        </w:rPr>
        <w:t>预测（私有信息，向电力调度机构提供）。</w:t>
      </w:r>
    </w:p>
    <w:p>
      <w:pPr>
        <w:pageBreakBefore w:val="0"/>
        <w:kinsoku/>
        <w:wordWrap/>
        <w:overflowPunct/>
        <w:topLinePunct w:val="0"/>
        <w:autoSpaceDE/>
        <w:autoSpaceDN/>
        <w:bidi w:val="0"/>
        <w:adjustRightInd/>
        <w:snapToGrid/>
        <w:spacing w:line="560" w:lineRule="exact"/>
        <w:ind w:firstLine="640"/>
        <w:textAlignment w:val="auto"/>
      </w:pPr>
      <w:r>
        <w:rPr>
          <w:rFonts w:hint="eastAsia"/>
        </w:rPr>
        <w:t>（三）发电企业实际</w:t>
      </w:r>
      <w:r>
        <w:t>运行</w:t>
      </w:r>
      <w:r>
        <w:rPr>
          <w:rFonts w:hint="eastAsia"/>
        </w:rPr>
        <w:t>信息</w:t>
      </w:r>
      <w:r>
        <w:t>，包括</w:t>
      </w:r>
      <w:r>
        <w:rPr>
          <w:rFonts w:hint="eastAsia"/>
        </w:rPr>
        <w:t>各</w:t>
      </w:r>
      <w:r>
        <w:t>机组</w:t>
      </w:r>
      <w:r>
        <w:rPr>
          <w:rFonts w:hint="eastAsia"/>
        </w:rPr>
        <w:t>实际</w:t>
      </w:r>
      <w:r>
        <w:t>出力</w:t>
      </w:r>
      <w:r>
        <w:rPr>
          <w:rFonts w:hint="eastAsia"/>
        </w:rPr>
        <w:t>（私有信息，向市场</w:t>
      </w:r>
      <w:r>
        <w:t>运营机构</w:t>
      </w:r>
      <w:r>
        <w:rPr>
          <w:rFonts w:hint="eastAsia"/>
        </w:rPr>
        <w:t>提供）；</w:t>
      </w:r>
      <w:r>
        <w:t>机组停运信息</w:t>
      </w:r>
      <w:r>
        <w:rPr>
          <w:rFonts w:hint="eastAsia"/>
        </w:rPr>
        <w:t>，包括</w:t>
      </w:r>
      <w:r>
        <w:t>起始时间，终止时间，停机容量</w:t>
      </w:r>
      <w:r>
        <w:rPr>
          <w:rFonts w:hint="eastAsia"/>
        </w:rPr>
        <w:t>（公开信息）。</w:t>
      </w:r>
    </w:p>
    <w:p>
      <w:pPr>
        <w:pStyle w:val="45"/>
        <w:pageBreakBefore w:val="0"/>
        <w:kinsoku/>
        <w:wordWrap/>
        <w:overflowPunct/>
        <w:topLinePunct w:val="0"/>
        <w:autoSpaceDE/>
        <w:autoSpaceDN/>
        <w:bidi w:val="0"/>
        <w:adjustRightInd/>
        <w:snapToGrid/>
        <w:spacing w:line="560" w:lineRule="exact"/>
        <w:ind w:firstLine="640"/>
        <w:textAlignment w:val="auto"/>
        <w:rPr>
          <w:color w:val="auto"/>
        </w:rPr>
      </w:pPr>
      <w:r>
        <w:rPr>
          <w:rFonts w:hint="eastAsia"/>
          <w:color w:val="auto"/>
        </w:rPr>
        <w:t>发电企业应披露的交易信息包括但不限于：</w:t>
      </w:r>
    </w:p>
    <w:p>
      <w:pPr>
        <w:pageBreakBefore w:val="0"/>
        <w:kinsoku/>
        <w:wordWrap/>
        <w:overflowPunct/>
        <w:topLinePunct w:val="0"/>
        <w:autoSpaceDE/>
        <w:autoSpaceDN/>
        <w:bidi w:val="0"/>
        <w:adjustRightInd/>
        <w:snapToGrid/>
        <w:spacing w:line="560" w:lineRule="exact"/>
        <w:ind w:firstLine="640"/>
        <w:textAlignment w:val="auto"/>
      </w:pPr>
      <w:r>
        <w:rPr>
          <w:rFonts w:hint="eastAsia"/>
        </w:rPr>
        <w:t>（一）中长期交易信息：年度</w:t>
      </w:r>
      <w:r>
        <w:t>、月度电力交易合同</w:t>
      </w:r>
      <w:r>
        <w:rPr>
          <w:rFonts w:hint="eastAsia"/>
        </w:rPr>
        <w:t>，</w:t>
      </w:r>
      <w:r>
        <w:t>购售电合同（私有信息，向电力交易机构提供)。</w:t>
      </w:r>
    </w:p>
    <w:p>
      <w:pPr>
        <w:pageBreakBefore w:val="0"/>
        <w:kinsoku/>
        <w:wordWrap/>
        <w:overflowPunct/>
        <w:topLinePunct w:val="0"/>
        <w:autoSpaceDE/>
        <w:autoSpaceDN/>
        <w:bidi w:val="0"/>
        <w:adjustRightInd/>
        <w:snapToGrid/>
        <w:spacing w:line="560" w:lineRule="exact"/>
        <w:ind w:firstLine="640"/>
        <w:textAlignment w:val="auto"/>
      </w:pPr>
      <w:r>
        <w:rPr>
          <w:rFonts w:hint="eastAsia"/>
        </w:rPr>
        <w:t>（二）</w:t>
      </w:r>
      <w:bookmarkStart w:id="0" w:name="_Hlk87536041"/>
      <w:r>
        <w:rPr>
          <w:rFonts w:hint="eastAsia"/>
        </w:rPr>
        <w:t>现货交易信息：电能量价申报曲线、</w:t>
      </w:r>
      <w:bookmarkEnd w:id="0"/>
      <w:r>
        <w:rPr>
          <w:rFonts w:hint="eastAsia"/>
        </w:rPr>
        <w:t>辅助服务报价信息等（私有信息，向</w:t>
      </w:r>
      <w:bookmarkStart w:id="1" w:name="_Hlk88594070"/>
      <w:r>
        <w:rPr>
          <w:rFonts w:hint="eastAsia"/>
        </w:rPr>
        <w:t>市场运营机构</w:t>
      </w:r>
      <w:bookmarkEnd w:id="1"/>
      <w:r>
        <w:rPr>
          <w:rFonts w:hint="eastAsia"/>
        </w:rPr>
        <w:t>提供）。</w:t>
      </w:r>
    </w:p>
    <w:p>
      <w:pPr>
        <w:pStyle w:val="3"/>
        <w:pageBreakBefore w:val="0"/>
        <w:kinsoku/>
        <w:wordWrap/>
        <w:overflowPunct/>
        <w:topLinePunct w:val="0"/>
        <w:autoSpaceDE/>
        <w:autoSpaceDN/>
        <w:bidi w:val="0"/>
        <w:adjustRightInd/>
        <w:snapToGrid/>
        <w:spacing w:line="560" w:lineRule="exact"/>
        <w:textAlignment w:val="auto"/>
      </w:pPr>
      <w:r>
        <w:rPr>
          <w:rFonts w:hint="eastAsia"/>
        </w:rPr>
        <w:t>售电企业</w:t>
      </w:r>
    </w:p>
    <w:p>
      <w:pPr>
        <w:pStyle w:val="45"/>
        <w:pageBreakBefore w:val="0"/>
        <w:kinsoku/>
        <w:wordWrap/>
        <w:overflowPunct/>
        <w:topLinePunct w:val="0"/>
        <w:autoSpaceDE/>
        <w:autoSpaceDN/>
        <w:bidi w:val="0"/>
        <w:adjustRightInd/>
        <w:snapToGrid/>
        <w:spacing w:line="560" w:lineRule="exact"/>
        <w:ind w:firstLine="640"/>
        <w:textAlignment w:val="auto"/>
        <w:rPr>
          <w:color w:val="auto"/>
        </w:rPr>
      </w:pPr>
      <w:r>
        <w:rPr>
          <w:rFonts w:hint="eastAsia"/>
          <w:color w:val="auto"/>
        </w:rPr>
        <w:t>售</w:t>
      </w:r>
      <w:r>
        <w:rPr>
          <w:color w:val="auto"/>
        </w:rPr>
        <w:t>电公司应披露的</w:t>
      </w:r>
      <w:r>
        <w:rPr>
          <w:rFonts w:hint="eastAsia"/>
          <w:color w:val="auto"/>
        </w:rPr>
        <w:t>基本信息包括但不限于：</w:t>
      </w:r>
    </w:p>
    <w:p>
      <w:pPr>
        <w:pageBreakBefore w:val="0"/>
        <w:kinsoku/>
        <w:wordWrap/>
        <w:overflowPunct/>
        <w:topLinePunct w:val="0"/>
        <w:autoSpaceDE/>
        <w:autoSpaceDN/>
        <w:bidi w:val="0"/>
        <w:adjustRightInd/>
        <w:snapToGrid/>
        <w:spacing w:line="560" w:lineRule="exact"/>
        <w:ind w:firstLine="640"/>
        <w:textAlignment w:val="auto"/>
      </w:pPr>
      <w:r>
        <w:rPr>
          <w:rFonts w:hint="eastAsia"/>
        </w:rPr>
        <w:t>（一）企业全称，企业性质，售电公司类型，股权结构，工商注册时间，注册资本金，营业执照，信用代码，法人，联系人，联系方式，市场注册时间，市场注册地点，</w:t>
      </w:r>
      <w:r>
        <w:t>资产总额</w:t>
      </w:r>
      <w:r>
        <w:rPr>
          <w:rFonts w:hint="eastAsia"/>
        </w:rPr>
        <w:t>，信用承诺书（公众信息）；开户许可证（公开信息）。</w:t>
      </w:r>
    </w:p>
    <w:p>
      <w:pPr>
        <w:pageBreakBefore w:val="0"/>
        <w:kinsoku/>
        <w:wordWrap/>
        <w:overflowPunct/>
        <w:topLinePunct w:val="0"/>
        <w:autoSpaceDE/>
        <w:autoSpaceDN/>
        <w:bidi w:val="0"/>
        <w:adjustRightInd/>
        <w:snapToGrid/>
        <w:spacing w:line="560" w:lineRule="exact"/>
        <w:ind w:firstLine="640"/>
        <w:textAlignment w:val="auto"/>
      </w:pPr>
      <w:r>
        <w:rPr>
          <w:rFonts w:hint="eastAsia"/>
        </w:rPr>
        <w:t>（二）企业运营管理信息，包括企业</w:t>
      </w:r>
      <w:r>
        <w:t>从业人员相关证明材料、验资报告</w:t>
      </w:r>
      <w:r>
        <w:rPr>
          <w:rFonts w:hint="eastAsia"/>
        </w:rPr>
        <w:t>、经营场所、技术支持系统证明</w:t>
      </w:r>
      <w:r>
        <w:t>等</w:t>
      </w:r>
      <w:r>
        <w:rPr>
          <w:rFonts w:hint="eastAsia"/>
        </w:rPr>
        <w:t>持续满足注册条件的信息和证明材料（公众信息）</w:t>
      </w:r>
      <w:r>
        <w:t>。</w:t>
      </w:r>
    </w:p>
    <w:p>
      <w:pPr>
        <w:pageBreakBefore w:val="0"/>
        <w:kinsoku/>
        <w:wordWrap/>
        <w:overflowPunct/>
        <w:topLinePunct w:val="0"/>
        <w:autoSpaceDE/>
        <w:autoSpaceDN/>
        <w:bidi w:val="0"/>
        <w:adjustRightInd/>
        <w:snapToGrid/>
        <w:spacing w:line="560" w:lineRule="exact"/>
        <w:ind w:firstLine="640"/>
        <w:textAlignment w:val="auto"/>
      </w:pPr>
      <w:r>
        <w:rPr>
          <w:rFonts w:hint="eastAsia"/>
        </w:rPr>
        <w:t>（三）</w:t>
      </w:r>
      <w:r>
        <w:t>企业变更情况，企业减资、合并、分立、解散及申请破产的决定；或者依法进入破产程序、被责令关闭等重大经营信息</w:t>
      </w:r>
      <w:r>
        <w:rPr>
          <w:rFonts w:hint="eastAsia"/>
        </w:rPr>
        <w:t>（公众信息）</w:t>
      </w:r>
      <w:r>
        <w:t>。</w:t>
      </w:r>
    </w:p>
    <w:p>
      <w:pPr>
        <w:pageBreakBefore w:val="0"/>
        <w:kinsoku/>
        <w:wordWrap/>
        <w:overflowPunct/>
        <w:topLinePunct w:val="0"/>
        <w:autoSpaceDE/>
        <w:autoSpaceDN/>
        <w:bidi w:val="0"/>
        <w:adjustRightInd/>
        <w:snapToGrid/>
        <w:spacing w:line="560" w:lineRule="exact"/>
        <w:ind w:firstLine="640"/>
        <w:textAlignment w:val="auto"/>
      </w:pPr>
      <w:r>
        <w:rPr>
          <w:rFonts w:hint="eastAsia"/>
        </w:rPr>
        <w:t>（四）</w:t>
      </w:r>
      <w:r>
        <w:t>与其他市场主体之间的关联关系信息</w:t>
      </w:r>
      <w:r>
        <w:rPr>
          <w:rFonts w:hint="eastAsia"/>
        </w:rPr>
        <w:t>（公众信息）</w:t>
      </w:r>
      <w:r>
        <w:t>。</w:t>
      </w:r>
    </w:p>
    <w:p>
      <w:pPr>
        <w:pageBreakBefore w:val="0"/>
        <w:kinsoku/>
        <w:wordWrap/>
        <w:overflowPunct/>
        <w:topLinePunct w:val="0"/>
        <w:autoSpaceDE/>
        <w:autoSpaceDN/>
        <w:bidi w:val="0"/>
        <w:adjustRightInd/>
        <w:snapToGrid/>
        <w:spacing w:line="560" w:lineRule="exact"/>
        <w:ind w:firstLine="640"/>
        <w:textAlignment w:val="auto"/>
      </w:pPr>
      <w:r>
        <w:rPr>
          <w:rFonts w:hint="eastAsia"/>
        </w:rPr>
        <w:t>（五）</w:t>
      </w:r>
      <w:bookmarkStart w:id="2" w:name="_Hlk88138258"/>
      <w:r>
        <w:rPr>
          <w:rFonts w:hint="eastAsia"/>
        </w:rPr>
        <w:t>拥有运营配电网的售电企业</w:t>
      </w:r>
      <w:bookmarkEnd w:id="2"/>
      <w:r>
        <w:rPr>
          <w:rFonts w:hint="eastAsia"/>
        </w:rPr>
        <w:t>还应提供：电力业务许可证（供电类），配电网电压等级，配电区域，配电价格等信息，运营配电网的地理接线图，网络拓扑图，供电营业区内参与市场用户清单（公开信息）。</w:t>
      </w:r>
    </w:p>
    <w:p>
      <w:pPr>
        <w:pageBreakBefore w:val="0"/>
        <w:kinsoku/>
        <w:wordWrap/>
        <w:overflowPunct/>
        <w:topLinePunct w:val="0"/>
        <w:autoSpaceDE/>
        <w:autoSpaceDN/>
        <w:bidi w:val="0"/>
        <w:adjustRightInd/>
        <w:snapToGrid/>
        <w:spacing w:line="560" w:lineRule="exact"/>
        <w:ind w:firstLine="640"/>
        <w:textAlignment w:val="auto"/>
      </w:pPr>
      <w:r>
        <w:rPr>
          <w:rFonts w:hint="eastAsia"/>
        </w:rPr>
        <w:t>（六）</w:t>
      </w:r>
      <w:r>
        <w:t>定期公布公司年报</w:t>
      </w:r>
      <w:r>
        <w:rPr>
          <w:rFonts w:hint="eastAsia"/>
        </w:rPr>
        <w:t>，年报内容包括企业经营状况、公司重大事项、企业信用信息查询情况，企业征信情况、持续满足市场准入条件情况等（公开信息）。</w:t>
      </w:r>
    </w:p>
    <w:p>
      <w:pPr>
        <w:pageBreakBefore w:val="0"/>
        <w:kinsoku/>
        <w:wordWrap/>
        <w:overflowPunct/>
        <w:topLinePunct w:val="0"/>
        <w:autoSpaceDE/>
        <w:autoSpaceDN/>
        <w:bidi w:val="0"/>
        <w:adjustRightInd/>
        <w:snapToGrid/>
        <w:spacing w:line="560" w:lineRule="exact"/>
        <w:ind w:firstLine="640"/>
        <w:textAlignment w:val="auto"/>
      </w:pPr>
      <w:r>
        <w:rPr>
          <w:rFonts w:hint="eastAsia"/>
        </w:rPr>
        <w:t>（七）</w:t>
      </w:r>
      <w:r>
        <w:t>其他政策法规要求向社会公众公开的信息</w:t>
      </w:r>
      <w:r>
        <w:rPr>
          <w:rFonts w:hint="eastAsia"/>
        </w:rPr>
        <w:t>（公众信息）</w:t>
      </w:r>
      <w:r>
        <w:t>。</w:t>
      </w:r>
    </w:p>
    <w:p>
      <w:pPr>
        <w:pStyle w:val="45"/>
        <w:pageBreakBefore w:val="0"/>
        <w:kinsoku/>
        <w:wordWrap/>
        <w:overflowPunct/>
        <w:topLinePunct w:val="0"/>
        <w:autoSpaceDE/>
        <w:autoSpaceDN/>
        <w:bidi w:val="0"/>
        <w:adjustRightInd/>
        <w:snapToGrid/>
        <w:spacing w:line="560" w:lineRule="exact"/>
        <w:ind w:firstLine="640"/>
        <w:textAlignment w:val="auto"/>
        <w:rPr>
          <w:color w:val="auto"/>
        </w:rPr>
      </w:pPr>
      <w:r>
        <w:rPr>
          <w:rFonts w:hint="eastAsia"/>
          <w:color w:val="auto"/>
        </w:rPr>
        <w:t>售</w:t>
      </w:r>
      <w:r>
        <w:rPr>
          <w:color w:val="auto"/>
        </w:rPr>
        <w:t>电公司</w:t>
      </w:r>
      <w:r>
        <w:rPr>
          <w:rFonts w:hint="eastAsia"/>
          <w:color w:val="auto"/>
        </w:rPr>
        <w:t>应披露的运行信息包括但</w:t>
      </w:r>
      <w:r>
        <w:rPr>
          <w:color w:val="auto"/>
        </w:rPr>
        <w:t>不限于</w:t>
      </w:r>
      <w:r>
        <w:rPr>
          <w:rFonts w:hint="eastAsia"/>
          <w:color w:val="auto"/>
        </w:rPr>
        <w:t>：</w:t>
      </w:r>
    </w:p>
    <w:p>
      <w:pPr>
        <w:pageBreakBefore w:val="0"/>
        <w:kinsoku/>
        <w:wordWrap/>
        <w:overflowPunct/>
        <w:topLinePunct w:val="0"/>
        <w:autoSpaceDE/>
        <w:autoSpaceDN/>
        <w:bidi w:val="0"/>
        <w:adjustRightInd/>
        <w:snapToGrid/>
        <w:spacing w:line="560" w:lineRule="exact"/>
        <w:ind w:firstLine="640"/>
        <w:textAlignment w:val="auto"/>
      </w:pPr>
      <w:r>
        <w:rPr>
          <w:rFonts w:hint="eastAsia"/>
        </w:rPr>
        <w:t>（一）年度预测信息：分月用电量需求预测，分月最大、最小用电负荷预测，分月平均负荷率预测（公开信息）。</w:t>
      </w:r>
    </w:p>
    <w:p>
      <w:pPr>
        <w:pageBreakBefore w:val="0"/>
        <w:kinsoku/>
        <w:wordWrap/>
        <w:overflowPunct/>
        <w:topLinePunct w:val="0"/>
        <w:autoSpaceDE/>
        <w:autoSpaceDN/>
        <w:bidi w:val="0"/>
        <w:adjustRightInd/>
        <w:snapToGrid/>
        <w:spacing w:line="560" w:lineRule="exact"/>
        <w:ind w:firstLine="640"/>
        <w:textAlignment w:val="auto"/>
      </w:pPr>
      <w:r>
        <w:rPr>
          <w:rFonts w:hint="eastAsia"/>
        </w:rPr>
        <w:t>（二）月度预测信息：用电量需求预测，最大、最小用电负荷预测，平均负荷率预测（公开信息）。</w:t>
      </w:r>
    </w:p>
    <w:p>
      <w:pPr>
        <w:pageBreakBefore w:val="0"/>
        <w:kinsoku/>
        <w:wordWrap/>
        <w:overflowPunct/>
        <w:topLinePunct w:val="0"/>
        <w:autoSpaceDE/>
        <w:autoSpaceDN/>
        <w:bidi w:val="0"/>
        <w:adjustRightInd/>
        <w:snapToGrid/>
        <w:spacing w:line="560" w:lineRule="exact"/>
        <w:ind w:firstLine="640"/>
        <w:textAlignment w:val="auto"/>
      </w:pPr>
      <w:r>
        <w:rPr>
          <w:rFonts w:hint="eastAsia"/>
        </w:rPr>
        <w:t>（三）配电网运行信息：拥有配电网运营权的售电企业，应提供重要配变电设备的检修、改造计划安排情况、配变电设备故障、非计划停运情况（公开信息）。</w:t>
      </w:r>
    </w:p>
    <w:p>
      <w:pPr>
        <w:pStyle w:val="45"/>
        <w:pageBreakBefore w:val="0"/>
        <w:kinsoku/>
        <w:wordWrap/>
        <w:overflowPunct/>
        <w:topLinePunct w:val="0"/>
        <w:autoSpaceDE/>
        <w:autoSpaceDN/>
        <w:bidi w:val="0"/>
        <w:adjustRightInd/>
        <w:snapToGrid/>
        <w:spacing w:line="560" w:lineRule="exact"/>
        <w:ind w:firstLine="640"/>
        <w:textAlignment w:val="auto"/>
        <w:rPr>
          <w:color w:val="auto"/>
        </w:rPr>
      </w:pPr>
      <w:r>
        <w:rPr>
          <w:rFonts w:hint="eastAsia"/>
          <w:color w:val="auto"/>
        </w:rPr>
        <w:t>售电企业应披露的交易信息包括但</w:t>
      </w:r>
      <w:r>
        <w:rPr>
          <w:color w:val="auto"/>
        </w:rPr>
        <w:t>不限于</w:t>
      </w:r>
      <w:r>
        <w:rPr>
          <w:rFonts w:hint="eastAsia"/>
          <w:color w:val="auto"/>
        </w:rPr>
        <w:t>：</w:t>
      </w:r>
    </w:p>
    <w:p>
      <w:pPr>
        <w:pageBreakBefore w:val="0"/>
        <w:kinsoku/>
        <w:wordWrap/>
        <w:overflowPunct/>
        <w:topLinePunct w:val="0"/>
        <w:autoSpaceDE/>
        <w:autoSpaceDN/>
        <w:bidi w:val="0"/>
        <w:adjustRightInd/>
        <w:snapToGrid/>
        <w:spacing w:line="560" w:lineRule="exact"/>
        <w:ind w:firstLine="640"/>
        <w:textAlignment w:val="auto"/>
      </w:pPr>
      <w:r>
        <w:rPr>
          <w:rFonts w:hint="eastAsia"/>
        </w:rPr>
        <w:t>（一）中长期交易信息：</w:t>
      </w:r>
      <w:r>
        <w:t>与电力用户签订的相关</w:t>
      </w:r>
      <w:r>
        <w:rPr>
          <w:rFonts w:hint="eastAsia"/>
        </w:rPr>
        <w:t>交易</w:t>
      </w:r>
      <w:r>
        <w:t>合同</w:t>
      </w:r>
      <w:r>
        <w:rPr>
          <w:rFonts w:hint="eastAsia"/>
        </w:rPr>
        <w:t>及</w:t>
      </w:r>
      <w:r>
        <w:t>协议信息</w:t>
      </w:r>
      <w:r>
        <w:rPr>
          <w:rFonts w:hint="eastAsia"/>
        </w:rPr>
        <w:t>，</w:t>
      </w:r>
      <w:r>
        <w:t>与发电企业签订的交易合同信息</w:t>
      </w:r>
      <w:r>
        <w:rPr>
          <w:rFonts w:hint="eastAsia"/>
        </w:rPr>
        <w:t>。（私有信息，向电力交易机构提供）。</w:t>
      </w:r>
    </w:p>
    <w:p>
      <w:pPr>
        <w:pageBreakBefore w:val="0"/>
        <w:kinsoku/>
        <w:wordWrap/>
        <w:overflowPunct/>
        <w:topLinePunct w:val="0"/>
        <w:autoSpaceDE/>
        <w:autoSpaceDN/>
        <w:bidi w:val="0"/>
        <w:adjustRightInd/>
        <w:snapToGrid/>
        <w:spacing w:line="560" w:lineRule="exact"/>
        <w:ind w:firstLine="640"/>
        <w:textAlignment w:val="auto"/>
      </w:pPr>
      <w:r>
        <w:rPr>
          <w:rFonts w:hint="eastAsia"/>
        </w:rPr>
        <w:t>（二）现货交易信息：电能量价申报曲线（私有信息，向电力交易机构提供）。</w:t>
      </w:r>
    </w:p>
    <w:p>
      <w:pPr>
        <w:pStyle w:val="3"/>
        <w:pageBreakBefore w:val="0"/>
        <w:kinsoku/>
        <w:wordWrap/>
        <w:overflowPunct/>
        <w:topLinePunct w:val="0"/>
        <w:autoSpaceDE/>
        <w:autoSpaceDN/>
        <w:bidi w:val="0"/>
        <w:adjustRightInd/>
        <w:snapToGrid/>
        <w:spacing w:line="560" w:lineRule="exact"/>
        <w:textAlignment w:val="auto"/>
      </w:pPr>
      <w:r>
        <w:rPr>
          <w:rFonts w:hint="eastAsia"/>
        </w:rPr>
        <w:t>电力用户</w:t>
      </w:r>
    </w:p>
    <w:p>
      <w:pPr>
        <w:pStyle w:val="45"/>
        <w:pageBreakBefore w:val="0"/>
        <w:kinsoku/>
        <w:wordWrap/>
        <w:overflowPunct/>
        <w:topLinePunct w:val="0"/>
        <w:autoSpaceDE/>
        <w:autoSpaceDN/>
        <w:bidi w:val="0"/>
        <w:adjustRightInd/>
        <w:snapToGrid/>
        <w:spacing w:line="560" w:lineRule="exact"/>
        <w:ind w:firstLine="640"/>
        <w:textAlignment w:val="auto"/>
        <w:rPr>
          <w:color w:val="auto"/>
        </w:rPr>
      </w:pPr>
      <w:r>
        <w:rPr>
          <w:rFonts w:hint="eastAsia"/>
          <w:color w:val="auto"/>
        </w:rPr>
        <w:t>电力</w:t>
      </w:r>
      <w:r>
        <w:rPr>
          <w:color w:val="auto"/>
        </w:rPr>
        <w:t>用户应披露的</w:t>
      </w:r>
      <w:r>
        <w:rPr>
          <w:rFonts w:hint="eastAsia"/>
          <w:color w:val="auto"/>
        </w:rPr>
        <w:t>基本信息包括但</w:t>
      </w:r>
      <w:r>
        <w:rPr>
          <w:color w:val="auto"/>
        </w:rPr>
        <w:t>不限于</w:t>
      </w:r>
      <w:r>
        <w:rPr>
          <w:rFonts w:hint="eastAsia"/>
          <w:color w:val="auto"/>
        </w:rPr>
        <w:t>：</w:t>
      </w:r>
    </w:p>
    <w:p>
      <w:pPr>
        <w:pageBreakBefore w:val="0"/>
        <w:kinsoku/>
        <w:wordWrap/>
        <w:overflowPunct/>
        <w:topLinePunct w:val="0"/>
        <w:autoSpaceDE/>
        <w:autoSpaceDN/>
        <w:bidi w:val="0"/>
        <w:adjustRightInd/>
        <w:snapToGrid/>
        <w:spacing w:line="560" w:lineRule="exact"/>
        <w:ind w:firstLine="640" w:firstLineChars="0"/>
        <w:textAlignment w:val="auto"/>
      </w:pPr>
      <w:r>
        <w:rPr>
          <w:rFonts w:hint="eastAsia"/>
        </w:rPr>
        <w:t>（一）企业全称，企业性质，用户类别、股权结构，工商注册时间，营业执照，信用代码，法人，联系人，联系方式，主营业务，所属行业，隶属供电公司（公众信息）。</w:t>
      </w:r>
    </w:p>
    <w:p>
      <w:pPr>
        <w:pageBreakBefore w:val="0"/>
        <w:kinsoku/>
        <w:wordWrap/>
        <w:overflowPunct/>
        <w:topLinePunct w:val="0"/>
        <w:autoSpaceDE/>
        <w:autoSpaceDN/>
        <w:bidi w:val="0"/>
        <w:adjustRightInd/>
        <w:snapToGrid/>
        <w:spacing w:line="560" w:lineRule="exact"/>
        <w:ind w:firstLine="640"/>
        <w:textAlignment w:val="auto"/>
      </w:pPr>
      <w:r>
        <w:rPr>
          <w:rFonts w:hint="eastAsia"/>
        </w:rPr>
        <w:t>（二）</w:t>
      </w:r>
      <w:r>
        <w:t>企业变更情况，包括企业减资、合并、分立、解散及申请破产的决定；或者依法进入破产程序、被责令关闭等重大经营信息</w:t>
      </w:r>
      <w:r>
        <w:rPr>
          <w:rFonts w:hint="eastAsia"/>
        </w:rPr>
        <w:t>（公众信息）</w:t>
      </w:r>
      <w:r>
        <w:t>。</w:t>
      </w:r>
    </w:p>
    <w:p>
      <w:pPr>
        <w:pageBreakBefore w:val="0"/>
        <w:kinsoku/>
        <w:wordWrap/>
        <w:overflowPunct/>
        <w:topLinePunct w:val="0"/>
        <w:autoSpaceDE/>
        <w:autoSpaceDN/>
        <w:bidi w:val="0"/>
        <w:adjustRightInd/>
        <w:snapToGrid/>
        <w:spacing w:line="560" w:lineRule="exact"/>
        <w:ind w:firstLine="640"/>
        <w:textAlignment w:val="auto"/>
      </w:pPr>
      <w:r>
        <w:rPr>
          <w:rFonts w:hint="eastAsia"/>
        </w:rPr>
        <w:t>（三）</w:t>
      </w:r>
      <w:r>
        <w:t>与其他市场主体之间的关联关系信息</w:t>
      </w:r>
      <w:r>
        <w:rPr>
          <w:rFonts w:hint="eastAsia"/>
        </w:rPr>
        <w:t>（公众信息）</w:t>
      </w:r>
      <w:r>
        <w:t>。</w:t>
      </w:r>
    </w:p>
    <w:p>
      <w:pPr>
        <w:pageBreakBefore w:val="0"/>
        <w:kinsoku/>
        <w:wordWrap/>
        <w:overflowPunct/>
        <w:topLinePunct w:val="0"/>
        <w:autoSpaceDE/>
        <w:autoSpaceDN/>
        <w:bidi w:val="0"/>
        <w:adjustRightInd/>
        <w:snapToGrid/>
        <w:spacing w:line="560" w:lineRule="exact"/>
        <w:ind w:firstLine="640"/>
        <w:textAlignment w:val="auto"/>
      </w:pPr>
      <w:r>
        <w:rPr>
          <w:rFonts w:hint="eastAsia"/>
        </w:rPr>
        <w:t>（四）</w:t>
      </w:r>
      <w:r>
        <w:t>企业用电类别</w:t>
      </w:r>
      <w:r>
        <w:rPr>
          <w:rFonts w:hint="eastAsia"/>
        </w:rPr>
        <w:t>，</w:t>
      </w:r>
      <w:r>
        <w:t>接入地区</w:t>
      </w:r>
      <w:r>
        <w:rPr>
          <w:rFonts w:hint="eastAsia"/>
        </w:rPr>
        <w:t>，投产时间，</w:t>
      </w:r>
      <w:r>
        <w:t>年用电量</w:t>
      </w:r>
      <w:r>
        <w:rPr>
          <w:rFonts w:hint="eastAsia"/>
        </w:rPr>
        <w:t>，</w:t>
      </w:r>
      <w:r>
        <w:t>用电电压等级</w:t>
      </w:r>
      <w:r>
        <w:rPr>
          <w:rFonts w:hint="eastAsia"/>
        </w:rPr>
        <w:t>，</w:t>
      </w:r>
      <w:r>
        <w:t>供电方式</w:t>
      </w:r>
      <w:r>
        <w:rPr>
          <w:rFonts w:hint="eastAsia"/>
        </w:rPr>
        <w:t>，</w:t>
      </w:r>
      <w:r>
        <w:t>自备电源（如有）</w:t>
      </w:r>
      <w:r>
        <w:rPr>
          <w:rFonts w:hint="eastAsia"/>
        </w:rPr>
        <w:t>，</w:t>
      </w:r>
      <w:r>
        <w:t>变压器报装容量以及最大需量等</w:t>
      </w:r>
      <w:r>
        <w:rPr>
          <w:rFonts w:hint="eastAsia"/>
        </w:rPr>
        <w:t>（公开信息）</w:t>
      </w:r>
      <w:r>
        <w:t>。</w:t>
      </w:r>
    </w:p>
    <w:p>
      <w:pPr>
        <w:pageBreakBefore w:val="0"/>
        <w:kinsoku/>
        <w:wordWrap/>
        <w:overflowPunct/>
        <w:topLinePunct w:val="0"/>
        <w:autoSpaceDE/>
        <w:autoSpaceDN/>
        <w:bidi w:val="0"/>
        <w:adjustRightInd/>
        <w:snapToGrid/>
        <w:spacing w:line="560" w:lineRule="exact"/>
        <w:ind w:firstLine="640"/>
        <w:textAlignment w:val="auto"/>
      </w:pPr>
      <w:r>
        <w:rPr>
          <w:rFonts w:hint="eastAsia"/>
        </w:rPr>
        <w:t>（五）</w:t>
      </w:r>
      <w:r>
        <w:t>其他政策法规要求向社会公众公开的信息</w:t>
      </w:r>
      <w:r>
        <w:rPr>
          <w:rFonts w:hint="eastAsia"/>
        </w:rPr>
        <w:t>（公众信息）</w:t>
      </w:r>
      <w:r>
        <w:t>。</w:t>
      </w:r>
    </w:p>
    <w:p>
      <w:pPr>
        <w:pStyle w:val="45"/>
        <w:pageBreakBefore w:val="0"/>
        <w:kinsoku/>
        <w:wordWrap/>
        <w:overflowPunct/>
        <w:topLinePunct w:val="0"/>
        <w:autoSpaceDE/>
        <w:autoSpaceDN/>
        <w:bidi w:val="0"/>
        <w:adjustRightInd/>
        <w:snapToGrid/>
        <w:spacing w:line="560" w:lineRule="exact"/>
        <w:ind w:firstLine="640"/>
        <w:textAlignment w:val="auto"/>
        <w:rPr>
          <w:color w:val="auto"/>
        </w:rPr>
      </w:pPr>
      <w:r>
        <w:rPr>
          <w:rFonts w:hint="eastAsia"/>
          <w:color w:val="auto"/>
        </w:rPr>
        <w:t>电力用户应披露的运行信息包括但</w:t>
      </w:r>
      <w:r>
        <w:rPr>
          <w:color w:val="auto"/>
        </w:rPr>
        <w:t>不限于</w:t>
      </w:r>
      <w:r>
        <w:rPr>
          <w:rFonts w:hint="eastAsia"/>
          <w:color w:val="auto"/>
        </w:rPr>
        <w:t>：</w:t>
      </w:r>
    </w:p>
    <w:p>
      <w:pPr>
        <w:pageBreakBefore w:val="0"/>
        <w:kinsoku/>
        <w:wordWrap/>
        <w:overflowPunct/>
        <w:topLinePunct w:val="0"/>
        <w:autoSpaceDE/>
        <w:autoSpaceDN/>
        <w:bidi w:val="0"/>
        <w:adjustRightInd/>
        <w:snapToGrid/>
        <w:spacing w:line="560" w:lineRule="exact"/>
        <w:ind w:firstLine="640"/>
        <w:textAlignment w:val="auto"/>
      </w:pPr>
      <w:r>
        <w:rPr>
          <w:rFonts w:hint="eastAsia"/>
        </w:rPr>
        <w:t>（一）年度预测信息：分月用电量需求预测，（公开信息）。</w:t>
      </w:r>
    </w:p>
    <w:p>
      <w:pPr>
        <w:pageBreakBefore w:val="0"/>
        <w:kinsoku/>
        <w:wordWrap/>
        <w:overflowPunct/>
        <w:topLinePunct w:val="0"/>
        <w:autoSpaceDE/>
        <w:autoSpaceDN/>
        <w:bidi w:val="0"/>
        <w:adjustRightInd/>
        <w:snapToGrid/>
        <w:spacing w:line="560" w:lineRule="exact"/>
        <w:ind w:firstLine="640"/>
        <w:textAlignment w:val="auto"/>
      </w:pPr>
      <w:r>
        <w:rPr>
          <w:rFonts w:hint="eastAsia"/>
        </w:rPr>
        <w:t>（二）月度预测信息：用电量需求预测（公开信息）。</w:t>
      </w:r>
    </w:p>
    <w:p>
      <w:pPr>
        <w:pageBreakBefore w:val="0"/>
        <w:kinsoku/>
        <w:wordWrap/>
        <w:overflowPunct/>
        <w:topLinePunct w:val="0"/>
        <w:autoSpaceDE/>
        <w:autoSpaceDN/>
        <w:bidi w:val="0"/>
        <w:adjustRightInd/>
        <w:snapToGrid/>
        <w:spacing w:line="560" w:lineRule="exact"/>
        <w:ind w:firstLine="640"/>
        <w:textAlignment w:val="auto"/>
      </w:pPr>
      <w:r>
        <w:rPr>
          <w:rFonts w:hint="eastAsia"/>
        </w:rPr>
        <w:t>（三）大型电力用户计划检修信息，包括起始时间、终止时间、停机容量等（公开信息）。</w:t>
      </w:r>
    </w:p>
    <w:p>
      <w:pPr>
        <w:pageBreakBefore w:val="0"/>
        <w:kinsoku/>
        <w:wordWrap/>
        <w:overflowPunct/>
        <w:topLinePunct w:val="0"/>
        <w:autoSpaceDE/>
        <w:autoSpaceDN/>
        <w:bidi w:val="0"/>
        <w:adjustRightInd/>
        <w:snapToGrid/>
        <w:spacing w:line="560" w:lineRule="exact"/>
        <w:ind w:firstLine="640"/>
        <w:textAlignment w:val="auto"/>
      </w:pPr>
      <w:r>
        <w:rPr>
          <w:rFonts w:hint="eastAsia"/>
        </w:rPr>
        <w:t>（四）可参与系统调节的响应能力和响应方式（私有信息，向市场运营机构提供）。</w:t>
      </w:r>
    </w:p>
    <w:p>
      <w:pPr>
        <w:pStyle w:val="45"/>
        <w:pageBreakBefore w:val="0"/>
        <w:kinsoku/>
        <w:wordWrap/>
        <w:overflowPunct/>
        <w:topLinePunct w:val="0"/>
        <w:autoSpaceDE/>
        <w:autoSpaceDN/>
        <w:bidi w:val="0"/>
        <w:adjustRightInd/>
        <w:snapToGrid/>
        <w:spacing w:line="560" w:lineRule="exact"/>
        <w:ind w:firstLine="640"/>
        <w:textAlignment w:val="auto"/>
        <w:rPr>
          <w:color w:val="auto"/>
        </w:rPr>
      </w:pPr>
      <w:r>
        <w:rPr>
          <w:rFonts w:hint="eastAsia"/>
          <w:color w:val="auto"/>
        </w:rPr>
        <w:t>电力用户应披露的交易信息包括但</w:t>
      </w:r>
      <w:r>
        <w:rPr>
          <w:color w:val="auto"/>
        </w:rPr>
        <w:t>不限于</w:t>
      </w:r>
      <w:r>
        <w:rPr>
          <w:rFonts w:hint="eastAsia"/>
          <w:color w:val="auto"/>
        </w:rPr>
        <w:t>：</w:t>
      </w:r>
    </w:p>
    <w:p>
      <w:pPr>
        <w:pageBreakBefore w:val="0"/>
        <w:kinsoku/>
        <w:wordWrap/>
        <w:overflowPunct/>
        <w:topLinePunct w:val="0"/>
        <w:autoSpaceDE/>
        <w:autoSpaceDN/>
        <w:bidi w:val="0"/>
        <w:adjustRightInd/>
        <w:snapToGrid/>
        <w:spacing w:line="560" w:lineRule="exact"/>
        <w:ind w:firstLine="640"/>
        <w:textAlignment w:val="auto"/>
      </w:pPr>
      <w:r>
        <w:rPr>
          <w:rFonts w:hint="eastAsia"/>
        </w:rPr>
        <w:t>（一）中长期交易信息：年度、月度（月内）</w:t>
      </w:r>
      <w:r>
        <w:t>与</w:t>
      </w:r>
      <w:r>
        <w:rPr>
          <w:rFonts w:hint="eastAsia"/>
        </w:rPr>
        <w:t>售电公司</w:t>
      </w:r>
      <w:r>
        <w:t>签订的相关合同或者协议信息、与发电企业签订的交易合同信息</w:t>
      </w:r>
      <w:r>
        <w:rPr>
          <w:rFonts w:hint="eastAsia"/>
        </w:rPr>
        <w:t>（私有信息，向电力交易机构提供）。</w:t>
      </w:r>
    </w:p>
    <w:p>
      <w:pPr>
        <w:pageBreakBefore w:val="0"/>
        <w:kinsoku/>
        <w:wordWrap/>
        <w:overflowPunct/>
        <w:topLinePunct w:val="0"/>
        <w:autoSpaceDE/>
        <w:autoSpaceDN/>
        <w:bidi w:val="0"/>
        <w:adjustRightInd/>
        <w:snapToGrid/>
        <w:spacing w:line="560" w:lineRule="exact"/>
        <w:ind w:firstLine="640"/>
        <w:textAlignment w:val="auto"/>
      </w:pPr>
      <w:r>
        <w:rPr>
          <w:rFonts w:hint="eastAsia"/>
        </w:rPr>
        <w:t>（二）现货交易信息：电能量价曲线（仅限批发用户）（私有信息，向电力交易机构提供）。</w:t>
      </w:r>
    </w:p>
    <w:p>
      <w:pPr>
        <w:pStyle w:val="3"/>
        <w:pageBreakBefore w:val="0"/>
        <w:kinsoku/>
        <w:wordWrap/>
        <w:overflowPunct/>
        <w:topLinePunct w:val="0"/>
        <w:autoSpaceDE/>
        <w:autoSpaceDN/>
        <w:bidi w:val="0"/>
        <w:adjustRightInd/>
        <w:snapToGrid/>
        <w:spacing w:line="560" w:lineRule="exact"/>
        <w:textAlignment w:val="auto"/>
      </w:pPr>
      <w:r>
        <w:rPr>
          <w:rFonts w:hint="eastAsia"/>
        </w:rPr>
        <w:t>电网企业</w:t>
      </w:r>
    </w:p>
    <w:p>
      <w:pPr>
        <w:pStyle w:val="45"/>
        <w:pageBreakBefore w:val="0"/>
        <w:kinsoku/>
        <w:wordWrap/>
        <w:overflowPunct/>
        <w:topLinePunct w:val="0"/>
        <w:autoSpaceDE/>
        <w:autoSpaceDN/>
        <w:bidi w:val="0"/>
        <w:adjustRightInd/>
        <w:snapToGrid/>
        <w:spacing w:line="560" w:lineRule="exact"/>
        <w:ind w:firstLine="640"/>
        <w:textAlignment w:val="auto"/>
        <w:rPr>
          <w:color w:val="auto"/>
        </w:rPr>
      </w:pPr>
      <w:r>
        <w:rPr>
          <w:rFonts w:hint="eastAsia"/>
          <w:color w:val="auto"/>
        </w:rPr>
        <w:t>电网企业应披露的基本信息包括但</w:t>
      </w:r>
      <w:r>
        <w:rPr>
          <w:color w:val="auto"/>
        </w:rPr>
        <w:t>不限于</w:t>
      </w:r>
      <w:r>
        <w:rPr>
          <w:rFonts w:hint="eastAsia"/>
          <w:color w:val="auto"/>
        </w:rPr>
        <w:t>：</w:t>
      </w:r>
    </w:p>
    <w:p>
      <w:pPr>
        <w:pageBreakBefore w:val="0"/>
        <w:kinsoku/>
        <w:wordWrap/>
        <w:overflowPunct/>
        <w:topLinePunct w:val="0"/>
        <w:autoSpaceDE/>
        <w:autoSpaceDN/>
        <w:bidi w:val="0"/>
        <w:adjustRightInd/>
        <w:snapToGrid/>
        <w:spacing w:line="560" w:lineRule="exact"/>
        <w:ind w:firstLine="640"/>
        <w:textAlignment w:val="auto"/>
      </w:pPr>
      <w:r>
        <w:t>（一）企业全称</w:t>
      </w:r>
      <w:r>
        <w:rPr>
          <w:rFonts w:hint="eastAsia"/>
        </w:rPr>
        <w:t>，</w:t>
      </w:r>
      <w:r>
        <w:t>企业性质</w:t>
      </w:r>
      <w:r>
        <w:rPr>
          <w:rFonts w:hint="eastAsia"/>
        </w:rPr>
        <w:t>，</w:t>
      </w:r>
      <w:r>
        <w:t>工商注册时间</w:t>
      </w:r>
      <w:r>
        <w:rPr>
          <w:rFonts w:hint="eastAsia"/>
        </w:rPr>
        <w:t>，</w:t>
      </w:r>
      <w:r>
        <w:t>营业执照</w:t>
      </w:r>
      <w:r>
        <w:rPr>
          <w:rFonts w:hint="eastAsia"/>
        </w:rPr>
        <w:t>，</w:t>
      </w:r>
      <w:r>
        <w:t>信用代码</w:t>
      </w:r>
      <w:r>
        <w:rPr>
          <w:rFonts w:hint="eastAsia"/>
        </w:rPr>
        <w:t>，</w:t>
      </w:r>
      <w:r>
        <w:t>法人</w:t>
      </w:r>
      <w:r>
        <w:rPr>
          <w:rFonts w:hint="eastAsia"/>
        </w:rPr>
        <w:t>，</w:t>
      </w:r>
      <w:r>
        <w:t>联系人</w:t>
      </w:r>
      <w:r>
        <w:rPr>
          <w:rFonts w:hint="eastAsia"/>
        </w:rPr>
        <w:t>，</w:t>
      </w:r>
      <w:r>
        <w:t>联系方式</w:t>
      </w:r>
      <w:r>
        <w:rPr>
          <w:rFonts w:hint="eastAsia"/>
        </w:rPr>
        <w:t>，</w:t>
      </w:r>
      <w:r>
        <w:t>供电区域</w:t>
      </w:r>
      <w:r>
        <w:rPr>
          <w:rFonts w:hint="eastAsia"/>
        </w:rPr>
        <w:t>，</w:t>
      </w:r>
      <w:r>
        <w:t>政府核定的输配电线损率等</w:t>
      </w:r>
      <w:r>
        <w:rPr>
          <w:rFonts w:hint="eastAsia"/>
        </w:rPr>
        <w:t>（公众信息）</w:t>
      </w:r>
      <w:r>
        <w:t>。</w:t>
      </w:r>
    </w:p>
    <w:p>
      <w:pPr>
        <w:pageBreakBefore w:val="0"/>
        <w:kinsoku/>
        <w:wordWrap/>
        <w:overflowPunct/>
        <w:topLinePunct w:val="0"/>
        <w:autoSpaceDE/>
        <w:autoSpaceDN/>
        <w:bidi w:val="0"/>
        <w:adjustRightInd/>
        <w:snapToGrid/>
        <w:spacing w:line="560" w:lineRule="exact"/>
        <w:ind w:firstLine="640"/>
        <w:textAlignment w:val="auto"/>
      </w:pPr>
      <w:r>
        <w:t>（二）与其他市场主体之间的关联关系信息</w:t>
      </w:r>
      <w:r>
        <w:rPr>
          <w:rFonts w:hint="eastAsia"/>
        </w:rPr>
        <w:t>（公众信息）</w:t>
      </w:r>
      <w:r>
        <w:t>。</w:t>
      </w:r>
    </w:p>
    <w:p>
      <w:pPr>
        <w:pageBreakBefore w:val="0"/>
        <w:kinsoku/>
        <w:wordWrap/>
        <w:overflowPunct/>
        <w:topLinePunct w:val="0"/>
        <w:autoSpaceDE/>
        <w:autoSpaceDN/>
        <w:bidi w:val="0"/>
        <w:adjustRightInd/>
        <w:snapToGrid/>
        <w:spacing w:line="560" w:lineRule="exact"/>
        <w:ind w:firstLine="640"/>
        <w:textAlignment w:val="auto"/>
      </w:pPr>
      <w:r>
        <w:t>（三）政府定价类信息，包括输配电价、各类政府性基金及其他市场相关收费标准等</w:t>
      </w:r>
      <w:r>
        <w:rPr>
          <w:rFonts w:hint="eastAsia"/>
        </w:rPr>
        <w:t>（公众信息）</w:t>
      </w:r>
      <w:r>
        <w:t>。</w:t>
      </w:r>
    </w:p>
    <w:p>
      <w:pPr>
        <w:pageBreakBefore w:val="0"/>
        <w:kinsoku/>
        <w:wordWrap/>
        <w:overflowPunct/>
        <w:topLinePunct w:val="0"/>
        <w:autoSpaceDE/>
        <w:autoSpaceDN/>
        <w:bidi w:val="0"/>
        <w:adjustRightInd/>
        <w:snapToGrid/>
        <w:spacing w:line="560" w:lineRule="exact"/>
        <w:ind w:firstLine="640"/>
        <w:textAlignment w:val="auto"/>
      </w:pPr>
      <w:r>
        <w:t>（四）电网主要网络通道示意图</w:t>
      </w:r>
      <w:r>
        <w:rPr>
          <w:rFonts w:hint="eastAsia"/>
        </w:rPr>
        <w:t>（公众信息）</w:t>
      </w:r>
      <w:r>
        <w:t>。</w:t>
      </w:r>
    </w:p>
    <w:p>
      <w:pPr>
        <w:pageBreakBefore w:val="0"/>
        <w:kinsoku/>
        <w:wordWrap/>
        <w:overflowPunct/>
        <w:topLinePunct w:val="0"/>
        <w:autoSpaceDE/>
        <w:autoSpaceDN/>
        <w:bidi w:val="0"/>
        <w:adjustRightInd/>
        <w:snapToGrid/>
        <w:spacing w:line="560" w:lineRule="exact"/>
        <w:ind w:firstLine="640"/>
        <w:textAlignment w:val="auto"/>
      </w:pPr>
      <w:r>
        <w:t>（五）其他政策法规要求向社会公众公开的信息</w:t>
      </w:r>
      <w:r>
        <w:rPr>
          <w:rFonts w:hint="eastAsia"/>
        </w:rPr>
        <w:t>（公众信息）</w:t>
      </w:r>
      <w:r>
        <w:t>。</w:t>
      </w:r>
    </w:p>
    <w:p>
      <w:pPr>
        <w:pageBreakBefore w:val="0"/>
        <w:kinsoku/>
        <w:wordWrap/>
        <w:overflowPunct/>
        <w:topLinePunct w:val="0"/>
        <w:autoSpaceDE/>
        <w:autoSpaceDN/>
        <w:bidi w:val="0"/>
        <w:adjustRightInd/>
        <w:snapToGrid/>
        <w:spacing w:line="560" w:lineRule="exact"/>
        <w:ind w:firstLine="640"/>
        <w:textAlignment w:val="auto"/>
      </w:pPr>
      <w:r>
        <w:t>（</w:t>
      </w:r>
      <w:r>
        <w:rPr>
          <w:rFonts w:hint="eastAsia"/>
        </w:rPr>
        <w:t>六</w:t>
      </w:r>
      <w:r>
        <w:t>）电力业务许可证（输电类）、电力业务许可证（供电类</w:t>
      </w:r>
      <w:r>
        <w:rPr>
          <w:rFonts w:hint="eastAsia"/>
        </w:rPr>
        <w:t>）</w:t>
      </w:r>
      <w:r>
        <w:t>编号</w:t>
      </w:r>
      <w:r>
        <w:rPr>
          <w:rFonts w:hint="eastAsia"/>
        </w:rPr>
        <w:t>（公开信息）</w:t>
      </w:r>
      <w:r>
        <w:t>。</w:t>
      </w:r>
    </w:p>
    <w:p>
      <w:pPr>
        <w:pStyle w:val="45"/>
        <w:pageBreakBefore w:val="0"/>
        <w:kinsoku/>
        <w:wordWrap/>
        <w:overflowPunct/>
        <w:topLinePunct w:val="0"/>
        <w:autoSpaceDE/>
        <w:autoSpaceDN/>
        <w:bidi w:val="0"/>
        <w:adjustRightInd/>
        <w:snapToGrid/>
        <w:spacing w:line="560" w:lineRule="exact"/>
        <w:ind w:firstLine="640"/>
        <w:textAlignment w:val="auto"/>
        <w:rPr>
          <w:color w:val="auto"/>
        </w:rPr>
      </w:pPr>
      <w:r>
        <w:rPr>
          <w:rFonts w:hint="eastAsia"/>
          <w:color w:val="auto"/>
        </w:rPr>
        <w:t>电网企业应披露的电网运行信息包括但不限于：</w:t>
      </w:r>
    </w:p>
    <w:p>
      <w:pPr>
        <w:pageBreakBefore w:val="0"/>
        <w:kinsoku/>
        <w:wordWrap/>
        <w:overflowPunct/>
        <w:topLinePunct w:val="0"/>
        <w:autoSpaceDE/>
        <w:autoSpaceDN/>
        <w:bidi w:val="0"/>
        <w:adjustRightInd/>
        <w:snapToGrid/>
        <w:spacing w:line="560" w:lineRule="exact"/>
        <w:ind w:firstLine="640"/>
        <w:textAlignment w:val="auto"/>
      </w:pPr>
      <w:r>
        <w:rPr>
          <w:rFonts w:hint="eastAsia"/>
        </w:rPr>
        <w:t>（一）年度运</w:t>
      </w:r>
      <w:r>
        <w:t>行</w:t>
      </w:r>
      <w:r>
        <w:rPr>
          <w:rFonts w:hint="eastAsia"/>
        </w:rPr>
        <w:t>信息</w:t>
      </w:r>
    </w:p>
    <w:p>
      <w:pPr>
        <w:pageBreakBefore w:val="0"/>
        <w:kinsoku/>
        <w:wordWrap/>
        <w:overflowPunct/>
        <w:topLinePunct w:val="0"/>
        <w:autoSpaceDE/>
        <w:autoSpaceDN/>
        <w:bidi w:val="0"/>
        <w:adjustRightInd/>
        <w:snapToGrid/>
        <w:spacing w:line="560" w:lineRule="exact"/>
        <w:ind w:firstLine="640"/>
        <w:textAlignment w:val="auto"/>
      </w:pPr>
      <w:r>
        <w:rPr>
          <w:rFonts w:hint="eastAsia"/>
        </w:rPr>
        <w:t>1、预测信息，包括全口径新机投产规模，年度电网建设计划，全社会用电量预测，重点行业用电量预测，全社会发电量预测（公开信息）。</w:t>
      </w:r>
    </w:p>
    <w:p>
      <w:pPr>
        <w:pageBreakBefore w:val="0"/>
        <w:kinsoku/>
        <w:wordWrap/>
        <w:overflowPunct/>
        <w:topLinePunct w:val="0"/>
        <w:autoSpaceDE/>
        <w:autoSpaceDN/>
        <w:bidi w:val="0"/>
        <w:adjustRightInd/>
        <w:snapToGrid/>
        <w:spacing w:line="560" w:lineRule="exact"/>
        <w:ind w:firstLine="640"/>
        <w:textAlignment w:val="auto"/>
      </w:pPr>
      <w:r>
        <w:rPr>
          <w:rFonts w:hint="eastAsia"/>
        </w:rPr>
        <w:t>2、执行信息，包括全口径总装机规模，</w:t>
      </w:r>
      <w:r>
        <w:t>电网规模，</w:t>
      </w:r>
      <w:r>
        <w:rPr>
          <w:rFonts w:hint="eastAsia"/>
        </w:rPr>
        <w:t>新投装机规模及类型，电网建设情况，全社会发电量，全社会用电量，重点行业用电量（公开信息）。</w:t>
      </w:r>
    </w:p>
    <w:p>
      <w:pPr>
        <w:pageBreakBefore w:val="0"/>
        <w:kinsoku/>
        <w:wordWrap/>
        <w:overflowPunct/>
        <w:topLinePunct w:val="0"/>
        <w:autoSpaceDE/>
        <w:autoSpaceDN/>
        <w:bidi w:val="0"/>
        <w:adjustRightInd/>
        <w:snapToGrid/>
        <w:spacing w:line="560" w:lineRule="exact"/>
        <w:ind w:firstLine="640"/>
        <w:textAlignment w:val="auto"/>
      </w:pPr>
      <w:r>
        <w:rPr>
          <w:rFonts w:hint="eastAsia"/>
        </w:rPr>
        <w:t>（二）月度运</w:t>
      </w:r>
      <w:r>
        <w:t>行</w:t>
      </w:r>
      <w:r>
        <w:rPr>
          <w:rFonts w:hint="eastAsia"/>
        </w:rPr>
        <w:t>信息</w:t>
      </w:r>
    </w:p>
    <w:p>
      <w:pPr>
        <w:pageBreakBefore w:val="0"/>
        <w:kinsoku/>
        <w:wordWrap/>
        <w:overflowPunct/>
        <w:topLinePunct w:val="0"/>
        <w:autoSpaceDE/>
        <w:autoSpaceDN/>
        <w:bidi w:val="0"/>
        <w:adjustRightInd/>
        <w:snapToGrid/>
        <w:spacing w:line="560" w:lineRule="exact"/>
        <w:ind w:firstLine="640"/>
        <w:textAlignment w:val="auto"/>
      </w:pPr>
      <w:r>
        <w:rPr>
          <w:rFonts w:hint="eastAsia"/>
        </w:rPr>
        <w:t>1、预测信息，包括全口径新机投产规模，电网建设计划，全社会用电量预测，重点行业用电量预测，全口径发用电量预测（公开信息）。</w:t>
      </w:r>
    </w:p>
    <w:p>
      <w:pPr>
        <w:pageBreakBefore w:val="0"/>
        <w:kinsoku/>
        <w:wordWrap/>
        <w:overflowPunct/>
        <w:topLinePunct w:val="0"/>
        <w:autoSpaceDE/>
        <w:autoSpaceDN/>
        <w:bidi w:val="0"/>
        <w:adjustRightInd/>
        <w:snapToGrid/>
        <w:spacing w:line="560" w:lineRule="exact"/>
        <w:ind w:firstLine="640"/>
        <w:textAlignment w:val="auto"/>
      </w:pPr>
      <w:r>
        <w:rPr>
          <w:rFonts w:hint="eastAsia"/>
        </w:rPr>
        <w:t>2、执行信息，包括总装机规模，新投装机规模及类型，电网规模，电网建设情况，全社会发电量，全社会用电量，重点行业用电量，电网安全运行情况（公开信息）；电力用户用电信息（用电户号、用电户名、结算户号、计量点、</w:t>
      </w:r>
      <w:r>
        <w:t>用电量、用电</w:t>
      </w:r>
      <w:r>
        <w:rPr>
          <w:rFonts w:hint="eastAsia"/>
        </w:rPr>
        <w:t>曲线等），发电机组上网电量（私有信息，向电力交易机构提供）</w:t>
      </w:r>
    </w:p>
    <w:p>
      <w:pPr>
        <w:pStyle w:val="45"/>
        <w:pageBreakBefore w:val="0"/>
        <w:kinsoku/>
        <w:wordWrap/>
        <w:overflowPunct/>
        <w:topLinePunct w:val="0"/>
        <w:autoSpaceDE/>
        <w:autoSpaceDN/>
        <w:bidi w:val="0"/>
        <w:adjustRightInd/>
        <w:snapToGrid/>
        <w:spacing w:line="560" w:lineRule="exact"/>
        <w:ind w:firstLine="640"/>
        <w:textAlignment w:val="auto"/>
        <w:rPr>
          <w:color w:val="auto"/>
        </w:rPr>
      </w:pPr>
      <w:r>
        <w:rPr>
          <w:rFonts w:hint="eastAsia"/>
          <w:color w:val="auto"/>
        </w:rPr>
        <w:t>电网企业应披露的交易信息包括但不限于：</w:t>
      </w:r>
    </w:p>
    <w:p>
      <w:pPr>
        <w:pageBreakBefore w:val="0"/>
        <w:kinsoku/>
        <w:wordWrap/>
        <w:overflowPunct/>
        <w:topLinePunct w:val="0"/>
        <w:autoSpaceDE/>
        <w:autoSpaceDN/>
        <w:bidi w:val="0"/>
        <w:adjustRightInd/>
        <w:snapToGrid/>
        <w:spacing w:line="560" w:lineRule="exact"/>
        <w:ind w:firstLine="640"/>
        <w:textAlignment w:val="auto"/>
      </w:pPr>
      <w:r>
        <w:rPr>
          <w:rFonts w:hint="eastAsia"/>
        </w:rPr>
        <w:t>（一）中长期交易信息</w:t>
      </w:r>
    </w:p>
    <w:p>
      <w:pPr>
        <w:pageBreakBefore w:val="0"/>
        <w:kinsoku/>
        <w:wordWrap/>
        <w:overflowPunct/>
        <w:topLinePunct w:val="0"/>
        <w:autoSpaceDE/>
        <w:autoSpaceDN/>
        <w:bidi w:val="0"/>
        <w:adjustRightInd/>
        <w:snapToGrid/>
        <w:spacing w:line="560" w:lineRule="exact"/>
        <w:ind w:firstLine="640"/>
        <w:textAlignment w:val="auto"/>
      </w:pPr>
      <w:r>
        <w:rPr>
          <w:rFonts w:hint="eastAsia"/>
        </w:rPr>
        <w:t>1、年</w:t>
      </w:r>
      <w:r>
        <w:t>度交易</w:t>
      </w:r>
      <w:r>
        <w:rPr>
          <w:rFonts w:hint="eastAsia"/>
        </w:rPr>
        <w:t>预测信息</w:t>
      </w:r>
      <w:r>
        <w:t>，包括</w:t>
      </w:r>
      <w:r>
        <w:rPr>
          <w:rFonts w:hint="eastAsia"/>
        </w:rPr>
        <w:t>代理用户年</w:t>
      </w:r>
      <w:r>
        <w:t>度</w:t>
      </w:r>
      <w:r>
        <w:rPr>
          <w:rFonts w:hint="eastAsia"/>
        </w:rPr>
        <w:t>分月电量</w:t>
      </w:r>
      <w:r>
        <w:t>（公开信息）。</w:t>
      </w:r>
    </w:p>
    <w:p>
      <w:pPr>
        <w:pageBreakBefore w:val="0"/>
        <w:kinsoku/>
        <w:wordWrap/>
        <w:overflowPunct/>
        <w:topLinePunct w:val="0"/>
        <w:autoSpaceDE/>
        <w:autoSpaceDN/>
        <w:bidi w:val="0"/>
        <w:adjustRightInd/>
        <w:snapToGrid/>
        <w:spacing w:line="560" w:lineRule="exact"/>
        <w:ind w:firstLine="640"/>
        <w:textAlignment w:val="auto"/>
      </w:pPr>
      <w:r>
        <w:rPr>
          <w:rFonts w:hint="eastAsia"/>
        </w:rPr>
        <w:t>2、</w:t>
      </w:r>
      <w:r>
        <w:t>月度交易预测信息，包括</w:t>
      </w:r>
      <w:r>
        <w:rPr>
          <w:rFonts w:hint="eastAsia"/>
          <w:lang w:val="en-US" w:eastAsia="zh-CN"/>
        </w:rPr>
        <w:t>代理购电</w:t>
      </w:r>
      <w:r>
        <w:rPr>
          <w:rFonts w:hint="eastAsia"/>
        </w:rPr>
        <w:t>月</w:t>
      </w:r>
      <w:r>
        <w:t>度</w:t>
      </w:r>
      <w:r>
        <w:rPr>
          <w:rFonts w:hint="eastAsia"/>
        </w:rPr>
        <w:t>采购电量电价结构及水平、市场化机组剩余容量相关情况、代理购电用户电价水平及构成</w:t>
      </w:r>
      <w:r>
        <w:t>（公开信息）。</w:t>
      </w:r>
    </w:p>
    <w:p>
      <w:pPr>
        <w:pageBreakBefore w:val="0"/>
        <w:kinsoku/>
        <w:wordWrap/>
        <w:overflowPunct/>
        <w:topLinePunct w:val="0"/>
        <w:autoSpaceDE/>
        <w:autoSpaceDN/>
        <w:bidi w:val="0"/>
        <w:adjustRightInd/>
        <w:snapToGrid/>
        <w:spacing w:line="560" w:lineRule="exact"/>
        <w:ind w:firstLine="640"/>
        <w:textAlignment w:val="auto"/>
        <w:rPr>
          <w:rFonts w:hint="eastAsia"/>
        </w:rPr>
      </w:pPr>
      <w:r>
        <w:rPr>
          <w:rFonts w:hint="eastAsia"/>
        </w:rPr>
        <w:t>3、市场</w:t>
      </w:r>
      <w:r>
        <w:t>执行</w:t>
      </w:r>
      <w:r>
        <w:rPr>
          <w:rFonts w:hint="eastAsia"/>
        </w:rPr>
        <w:t>类</w:t>
      </w:r>
      <w:r>
        <w:t>信息，</w:t>
      </w:r>
      <w:r>
        <w:rPr>
          <w:rFonts w:hint="eastAsia"/>
        </w:rPr>
        <w:t>包</w:t>
      </w:r>
      <w:r>
        <w:t>括</w:t>
      </w:r>
      <w:r>
        <w:rPr>
          <w:rFonts w:hint="eastAsia"/>
        </w:rPr>
        <w:t>年度、月度市场结算收付费总体情况及市场主体欠费情况；代理购电用户实</w:t>
      </w:r>
      <w:r>
        <w:t>际</w:t>
      </w:r>
      <w:r>
        <w:rPr>
          <w:rFonts w:hint="eastAsia"/>
        </w:rPr>
        <w:t>电量和电价执行情况，</w:t>
      </w:r>
      <w:r>
        <w:t>预测与实际偏差</w:t>
      </w:r>
      <w:r>
        <w:rPr>
          <w:rFonts w:hint="eastAsia"/>
        </w:rPr>
        <w:t>情况（公开信息）。</w:t>
      </w:r>
    </w:p>
    <w:p>
      <w:pPr>
        <w:pageBreakBefore w:val="0"/>
        <w:kinsoku/>
        <w:wordWrap/>
        <w:overflowPunct/>
        <w:topLinePunct w:val="0"/>
        <w:autoSpaceDE/>
        <w:autoSpaceDN/>
        <w:bidi w:val="0"/>
        <w:adjustRightInd/>
        <w:snapToGrid/>
        <w:spacing w:line="560" w:lineRule="exact"/>
        <w:ind w:firstLine="640"/>
        <w:textAlignment w:val="auto"/>
        <w:rPr>
          <w:rFonts w:hint="eastAsia"/>
        </w:rPr>
      </w:pPr>
      <w:r>
        <w:rPr>
          <w:rFonts w:hint="eastAsia"/>
        </w:rPr>
        <w:t>4、与代理用户签订的相关交易合同或者协议信息、与发电企业签订的交易合同信息（私有信息，向交易机构提供）。</w:t>
      </w:r>
      <w:bookmarkStart w:id="8" w:name="_GoBack"/>
      <w:bookmarkEnd w:id="8"/>
    </w:p>
    <w:p>
      <w:pPr>
        <w:pageBreakBefore w:val="0"/>
        <w:kinsoku/>
        <w:wordWrap/>
        <w:overflowPunct/>
        <w:topLinePunct w:val="0"/>
        <w:autoSpaceDE/>
        <w:autoSpaceDN/>
        <w:bidi w:val="0"/>
        <w:adjustRightInd/>
        <w:snapToGrid/>
        <w:spacing w:line="560" w:lineRule="exact"/>
        <w:ind w:left="640" w:firstLine="0" w:firstLineChars="0"/>
        <w:textAlignment w:val="auto"/>
      </w:pPr>
      <w:r>
        <w:rPr>
          <w:rFonts w:hint="eastAsia"/>
        </w:rPr>
        <w:t>（二）现货交易信息</w:t>
      </w:r>
    </w:p>
    <w:p>
      <w:pPr>
        <w:pageBreakBefore w:val="0"/>
        <w:kinsoku/>
        <w:wordWrap/>
        <w:overflowPunct/>
        <w:topLinePunct w:val="0"/>
        <w:autoSpaceDE/>
        <w:autoSpaceDN/>
        <w:bidi w:val="0"/>
        <w:adjustRightInd/>
        <w:snapToGrid/>
        <w:spacing w:line="560" w:lineRule="exact"/>
        <w:ind w:firstLine="640" w:firstLineChars="0"/>
        <w:textAlignment w:val="auto"/>
      </w:pPr>
      <w:r>
        <w:t>发电</w:t>
      </w:r>
      <w:r>
        <w:rPr>
          <w:rFonts w:hint="eastAsia"/>
        </w:rPr>
        <w:t>机组</w:t>
      </w:r>
      <w:r>
        <w:t>每</w:t>
      </w:r>
      <w:r>
        <w:rPr>
          <w:rFonts w:hint="eastAsia"/>
        </w:rPr>
        <w:t>日</w:t>
      </w:r>
      <w:r>
        <w:t>每个交易</w:t>
      </w:r>
      <w:r>
        <w:rPr>
          <w:rFonts w:hint="eastAsia"/>
        </w:rPr>
        <w:t>时</w:t>
      </w:r>
      <w:r>
        <w:t>段的上网电量</w:t>
      </w:r>
      <w:r>
        <w:rPr>
          <w:rFonts w:hint="eastAsia"/>
        </w:rPr>
        <w:t>，电力用户每日每个交易时段的用电量（私有信息，向电力交易机构提供）。</w:t>
      </w:r>
    </w:p>
    <w:p>
      <w:pPr>
        <w:pStyle w:val="3"/>
        <w:pageBreakBefore w:val="0"/>
        <w:kinsoku/>
        <w:wordWrap/>
        <w:overflowPunct/>
        <w:topLinePunct w:val="0"/>
        <w:autoSpaceDE/>
        <w:autoSpaceDN/>
        <w:bidi w:val="0"/>
        <w:adjustRightInd/>
        <w:snapToGrid/>
        <w:spacing w:line="560" w:lineRule="exact"/>
        <w:textAlignment w:val="auto"/>
      </w:pPr>
      <w:r>
        <w:rPr>
          <w:rFonts w:hint="eastAsia"/>
        </w:rPr>
        <w:t>电力调度机构</w:t>
      </w:r>
    </w:p>
    <w:p>
      <w:pPr>
        <w:pStyle w:val="45"/>
        <w:pageBreakBefore w:val="0"/>
        <w:kinsoku/>
        <w:wordWrap/>
        <w:overflowPunct/>
        <w:topLinePunct w:val="0"/>
        <w:autoSpaceDE/>
        <w:autoSpaceDN/>
        <w:bidi w:val="0"/>
        <w:adjustRightInd/>
        <w:snapToGrid/>
        <w:spacing w:line="560" w:lineRule="exact"/>
        <w:ind w:firstLine="640"/>
        <w:textAlignment w:val="auto"/>
        <w:rPr>
          <w:color w:val="auto"/>
        </w:rPr>
      </w:pPr>
      <w:r>
        <w:rPr>
          <w:rFonts w:hint="eastAsia"/>
          <w:color w:val="auto"/>
        </w:rPr>
        <w:t>电力调度机构应披露的基本信息包括但不限于：</w:t>
      </w:r>
    </w:p>
    <w:p>
      <w:pPr>
        <w:pStyle w:val="45"/>
        <w:pageBreakBefore w:val="0"/>
        <w:numPr>
          <w:ilvl w:val="0"/>
          <w:numId w:val="0"/>
        </w:numPr>
        <w:kinsoku/>
        <w:wordWrap/>
        <w:overflowPunct/>
        <w:topLinePunct w:val="0"/>
        <w:autoSpaceDE/>
        <w:autoSpaceDN/>
        <w:bidi w:val="0"/>
        <w:adjustRightInd/>
        <w:snapToGrid/>
        <w:spacing w:line="560" w:lineRule="exact"/>
        <w:ind w:left="0" w:firstLine="640"/>
        <w:textAlignment w:val="auto"/>
        <w:rPr>
          <w:color w:val="auto"/>
        </w:rPr>
      </w:pPr>
      <w:r>
        <w:rPr>
          <w:rFonts w:hint="eastAsia"/>
          <w:color w:val="auto"/>
        </w:rPr>
        <w:t>电力市场适用</w:t>
      </w:r>
      <w:r>
        <w:rPr>
          <w:color w:val="auto"/>
        </w:rPr>
        <w:t>的</w:t>
      </w:r>
      <w:r>
        <w:rPr>
          <w:rFonts w:hint="eastAsia"/>
          <w:color w:val="auto"/>
        </w:rPr>
        <w:t>标准规范</w:t>
      </w:r>
      <w:r>
        <w:rPr>
          <w:color w:val="auto"/>
        </w:rPr>
        <w:t>信息，包括《电网运行方式编制流程》</w:t>
      </w:r>
      <w:r>
        <w:rPr>
          <w:rFonts w:hint="eastAsia"/>
          <w:color w:val="auto"/>
        </w:rPr>
        <w:t>，</w:t>
      </w:r>
      <w:r>
        <w:rPr>
          <w:color w:val="auto"/>
        </w:rPr>
        <w:t>负荷预测方法和流程</w:t>
      </w:r>
      <w:r>
        <w:rPr>
          <w:rFonts w:hint="eastAsia"/>
          <w:color w:val="auto"/>
        </w:rPr>
        <w:t>，</w:t>
      </w:r>
      <w:r>
        <w:rPr>
          <w:color w:val="auto"/>
        </w:rPr>
        <w:t>外来（外送）电预测及其在连接点电量的分配方法</w:t>
      </w:r>
      <w:r>
        <w:rPr>
          <w:rFonts w:hint="eastAsia"/>
          <w:color w:val="auto"/>
        </w:rPr>
        <w:t>，</w:t>
      </w:r>
      <w:r>
        <w:rPr>
          <w:color w:val="auto"/>
        </w:rPr>
        <w:t>调频、备用等辅助服务需求计算方法以及</w:t>
      </w:r>
      <w:r>
        <w:rPr>
          <w:rFonts w:hint="eastAsia"/>
          <w:color w:val="auto"/>
        </w:rPr>
        <w:t>采</w:t>
      </w:r>
      <w:r>
        <w:rPr>
          <w:rFonts w:hint="eastAsia" w:ascii="仿宋_GB2312" w:hAnsi="仿宋_GB2312" w:cs="仿宋_GB2312"/>
          <w:color w:val="auto"/>
        </w:rPr>
        <w:t>购流</w:t>
      </w:r>
      <w:r>
        <w:rPr>
          <w:color w:val="auto"/>
        </w:rPr>
        <w:t>程</w:t>
      </w:r>
      <w:r>
        <w:rPr>
          <w:rFonts w:hint="eastAsia"/>
          <w:color w:val="auto"/>
        </w:rPr>
        <w:t>（公众信息）。</w:t>
      </w:r>
    </w:p>
    <w:p>
      <w:pPr>
        <w:pStyle w:val="45"/>
        <w:pageBreakBefore w:val="0"/>
        <w:kinsoku/>
        <w:wordWrap/>
        <w:overflowPunct/>
        <w:topLinePunct w:val="0"/>
        <w:autoSpaceDE/>
        <w:autoSpaceDN/>
        <w:bidi w:val="0"/>
        <w:adjustRightInd/>
        <w:snapToGrid/>
        <w:spacing w:line="560" w:lineRule="exact"/>
        <w:ind w:firstLine="640"/>
        <w:textAlignment w:val="auto"/>
        <w:rPr>
          <w:color w:val="auto"/>
        </w:rPr>
      </w:pPr>
      <w:r>
        <w:rPr>
          <w:rFonts w:hint="eastAsia"/>
          <w:color w:val="auto"/>
        </w:rPr>
        <w:t>电力调度机构应披露的电网运行信息包括但不限于：</w:t>
      </w:r>
    </w:p>
    <w:p>
      <w:pPr>
        <w:pageBreakBefore w:val="0"/>
        <w:kinsoku/>
        <w:wordWrap/>
        <w:overflowPunct/>
        <w:topLinePunct w:val="0"/>
        <w:autoSpaceDE/>
        <w:autoSpaceDN/>
        <w:bidi w:val="0"/>
        <w:adjustRightInd/>
        <w:snapToGrid/>
        <w:spacing w:line="560" w:lineRule="exact"/>
        <w:ind w:firstLine="640"/>
        <w:textAlignment w:val="auto"/>
      </w:pPr>
      <w:r>
        <w:rPr>
          <w:rFonts w:hint="eastAsia"/>
        </w:rPr>
        <w:t>（一）年度运行信息</w:t>
      </w:r>
    </w:p>
    <w:p>
      <w:pPr>
        <w:pageBreakBefore w:val="0"/>
        <w:tabs>
          <w:tab w:val="left" w:pos="2410"/>
        </w:tabs>
        <w:kinsoku/>
        <w:wordWrap/>
        <w:overflowPunct/>
        <w:topLinePunct w:val="0"/>
        <w:autoSpaceDE/>
        <w:autoSpaceDN/>
        <w:bidi w:val="0"/>
        <w:adjustRightInd/>
        <w:snapToGrid/>
        <w:spacing w:line="560" w:lineRule="exact"/>
        <w:ind w:firstLine="640"/>
        <w:textAlignment w:val="auto"/>
      </w:pPr>
      <w:r>
        <w:rPr>
          <w:rFonts w:hint="eastAsia"/>
        </w:rPr>
        <w:t>1、预测信息，包括电网运行方式，年前跨省跨区联络线输电能力预测，</w:t>
      </w:r>
      <w:r>
        <w:rPr>
          <w:rFonts w:hint="eastAsia" w:ascii="Times New Roman" w:hAnsi="Times New Roman" w:eastAsia="仿宋_GB2312" w:cstheme="minorBidi"/>
          <w:color w:val="auto"/>
        </w:rPr>
        <w:t>设</w:t>
      </w:r>
      <w:r>
        <w:rPr>
          <w:rFonts w:ascii="Times New Roman" w:hAnsi="Times New Roman" w:eastAsia="仿宋_GB2312" w:cstheme="minorBidi"/>
          <w:color w:val="auto"/>
        </w:rPr>
        <w:t>备投产计划</w:t>
      </w:r>
      <w:r>
        <w:rPr>
          <w:rFonts w:hint="eastAsia" w:ascii="Times New Roman" w:hAnsi="Times New Roman" w:eastAsia="仿宋_GB2312" w:cstheme="minorBidi"/>
          <w:color w:val="auto"/>
        </w:rPr>
        <w:t>，</w:t>
      </w:r>
      <w:r>
        <w:rPr>
          <w:rFonts w:hint="eastAsia"/>
        </w:rPr>
        <w:t>机组检修计划，必开机组组合和发电量需求，电网关键</w:t>
      </w:r>
      <w:r>
        <w:t>设备</w:t>
      </w:r>
      <w:r>
        <w:rPr>
          <w:rFonts w:hint="eastAsia"/>
        </w:rPr>
        <w:t>检修计划，关键通道阻塞情况及可用输电容量预测，影响断面限额变化的停电检修计划，电力电</w:t>
      </w:r>
      <w:r>
        <w:t>量</w:t>
      </w:r>
      <w:r>
        <w:rPr>
          <w:rFonts w:hint="eastAsia"/>
        </w:rPr>
        <w:t>平衡</w:t>
      </w:r>
      <w:r>
        <w:t>预测，</w:t>
      </w:r>
      <w:r>
        <w:rPr>
          <w:rFonts w:hint="eastAsia"/>
        </w:rPr>
        <w:t>辅助服务需求（公开信息）。</w:t>
      </w:r>
    </w:p>
    <w:p>
      <w:pPr>
        <w:pageBreakBefore w:val="0"/>
        <w:kinsoku/>
        <w:wordWrap/>
        <w:overflowPunct/>
        <w:topLinePunct w:val="0"/>
        <w:autoSpaceDE/>
        <w:autoSpaceDN/>
        <w:bidi w:val="0"/>
        <w:adjustRightInd/>
        <w:snapToGrid/>
        <w:spacing w:line="560" w:lineRule="exact"/>
        <w:ind w:firstLine="640"/>
        <w:textAlignment w:val="auto"/>
      </w:pPr>
      <w:r>
        <w:rPr>
          <w:rFonts w:hint="eastAsia"/>
        </w:rPr>
        <w:t>2、执行信息，包括机组检修计划执行情况，电网检修计划执行情况，通道阻塞情况，机组非计划停运情况，发用电</w:t>
      </w:r>
      <w:r>
        <w:t>情况</w:t>
      </w:r>
      <w:r>
        <w:rPr>
          <w:rFonts w:hint="eastAsia"/>
        </w:rPr>
        <w:t>，机组利用小时数，火电负荷率，水电来水情况，电煤库存情况，辅助服务调用情况（公开信息）。</w:t>
      </w:r>
    </w:p>
    <w:p>
      <w:pPr>
        <w:pageBreakBefore w:val="0"/>
        <w:kinsoku/>
        <w:wordWrap/>
        <w:overflowPunct/>
        <w:topLinePunct w:val="0"/>
        <w:autoSpaceDE/>
        <w:autoSpaceDN/>
        <w:bidi w:val="0"/>
        <w:adjustRightInd/>
        <w:snapToGrid/>
        <w:spacing w:line="560" w:lineRule="exact"/>
        <w:ind w:firstLine="640"/>
        <w:textAlignment w:val="auto"/>
      </w:pPr>
      <w:r>
        <w:rPr>
          <w:rFonts w:hint="eastAsia"/>
        </w:rPr>
        <w:t>（二）月度运行信息</w:t>
      </w:r>
    </w:p>
    <w:p>
      <w:pPr>
        <w:pageBreakBefore w:val="0"/>
        <w:kinsoku/>
        <w:wordWrap/>
        <w:overflowPunct/>
        <w:topLinePunct w:val="0"/>
        <w:autoSpaceDE/>
        <w:autoSpaceDN/>
        <w:bidi w:val="0"/>
        <w:adjustRightInd/>
        <w:snapToGrid/>
        <w:spacing w:line="560" w:lineRule="exact"/>
        <w:ind w:firstLine="640"/>
        <w:textAlignment w:val="auto"/>
      </w:pPr>
      <w:r>
        <w:rPr>
          <w:rFonts w:hint="eastAsia"/>
        </w:rPr>
        <w:t>1、预测信息，包括月前跨省跨区联络线输电能力预测，机组检修计划，电网检修计划，关键</w:t>
      </w:r>
      <w:r>
        <w:t>断面通道</w:t>
      </w:r>
      <w:r>
        <w:rPr>
          <w:rFonts w:hint="eastAsia"/>
        </w:rPr>
        <w:t>输</w:t>
      </w:r>
      <w:r>
        <w:t>电能力，</w:t>
      </w:r>
      <w:r>
        <w:rPr>
          <w:rFonts w:hint="eastAsia"/>
        </w:rPr>
        <w:t>发</w:t>
      </w:r>
      <w:r>
        <w:t>电厂送出线</w:t>
      </w:r>
      <w:r>
        <w:rPr>
          <w:rFonts w:hint="eastAsia"/>
        </w:rPr>
        <w:t>输</w:t>
      </w:r>
      <w:r>
        <w:t>电能力</w:t>
      </w:r>
      <w:r>
        <w:rPr>
          <w:rFonts w:hint="eastAsia"/>
        </w:rPr>
        <w:t>，电力</w:t>
      </w:r>
      <w:r>
        <w:t>电量</w:t>
      </w:r>
      <w:r>
        <w:rPr>
          <w:rFonts w:hint="eastAsia"/>
        </w:rPr>
        <w:t>平衡</w:t>
      </w:r>
      <w:r>
        <w:t>预测</w:t>
      </w:r>
      <w:r>
        <w:rPr>
          <w:rFonts w:hint="eastAsia"/>
        </w:rPr>
        <w:t>，预测供需差额，水库消落计划，火电运行方式安排，辅助服务需求（公开信息）。</w:t>
      </w:r>
    </w:p>
    <w:p>
      <w:pPr>
        <w:pageBreakBefore w:val="0"/>
        <w:kinsoku/>
        <w:wordWrap/>
        <w:overflowPunct/>
        <w:topLinePunct w:val="0"/>
        <w:autoSpaceDE/>
        <w:autoSpaceDN/>
        <w:bidi w:val="0"/>
        <w:adjustRightInd/>
        <w:snapToGrid/>
        <w:spacing w:line="560" w:lineRule="exact"/>
        <w:ind w:firstLine="640"/>
        <w:textAlignment w:val="auto"/>
      </w:pPr>
      <w:r>
        <w:rPr>
          <w:rFonts w:hint="eastAsia"/>
        </w:rPr>
        <w:t>2、执行信息，包括电网、</w:t>
      </w:r>
      <w:r>
        <w:t>电厂</w:t>
      </w:r>
      <w:r>
        <w:rPr>
          <w:rFonts w:hint="eastAsia"/>
        </w:rPr>
        <w:t>检修计划执行情况，电</w:t>
      </w:r>
      <w:r>
        <w:t>网、电厂</w:t>
      </w:r>
      <w:r>
        <w:rPr>
          <w:rFonts w:hint="eastAsia"/>
        </w:rPr>
        <w:t>投</w:t>
      </w:r>
      <w:r>
        <w:t>产</w:t>
      </w:r>
      <w:r>
        <w:rPr>
          <w:rFonts w:hint="eastAsia"/>
        </w:rPr>
        <w:t>情况</w:t>
      </w:r>
      <w:r>
        <w:t>，</w:t>
      </w:r>
      <w:r>
        <w:rPr>
          <w:rFonts w:hint="eastAsia"/>
        </w:rPr>
        <w:t>实</w:t>
      </w:r>
      <w:r>
        <w:t>际</w:t>
      </w:r>
      <w:r>
        <w:rPr>
          <w:rFonts w:hint="eastAsia"/>
        </w:rPr>
        <w:t>运</w:t>
      </w:r>
      <w:r>
        <w:t>行断面</w:t>
      </w:r>
      <w:r>
        <w:rPr>
          <w:rFonts w:hint="eastAsia"/>
        </w:rPr>
        <w:t>约束</w:t>
      </w:r>
      <w:r>
        <w:t>及</w:t>
      </w:r>
      <w:r>
        <w:rPr>
          <w:rFonts w:hint="eastAsia"/>
        </w:rPr>
        <w:t>阻塞情况，机组非计划停运情况，发用</w:t>
      </w:r>
      <w:r>
        <w:t>电情况</w:t>
      </w:r>
      <w:r>
        <w:rPr>
          <w:rFonts w:hint="eastAsia"/>
        </w:rPr>
        <w:t>，机组利用小时数，火电负荷率，水电来水情况，电煤库存，辅助服务调用情况，</w:t>
      </w:r>
      <w:r>
        <w:t>重要运行方式变化情况</w:t>
      </w:r>
      <w:r>
        <w:rPr>
          <w:rFonts w:hint="eastAsia"/>
        </w:rPr>
        <w:t>（公开信息）。</w:t>
      </w:r>
    </w:p>
    <w:p>
      <w:pPr>
        <w:pageBreakBefore w:val="0"/>
        <w:kinsoku/>
        <w:wordWrap/>
        <w:overflowPunct/>
        <w:topLinePunct w:val="0"/>
        <w:autoSpaceDE/>
        <w:autoSpaceDN/>
        <w:bidi w:val="0"/>
        <w:adjustRightInd/>
        <w:snapToGrid/>
        <w:spacing w:line="560" w:lineRule="exact"/>
        <w:ind w:firstLine="640"/>
        <w:textAlignment w:val="auto"/>
      </w:pPr>
      <w:r>
        <w:rPr>
          <w:rFonts w:hint="eastAsia"/>
        </w:rPr>
        <w:t>（三）周运行信息</w:t>
      </w:r>
    </w:p>
    <w:p>
      <w:pPr>
        <w:pageBreakBefore w:val="0"/>
        <w:kinsoku/>
        <w:wordWrap/>
        <w:overflowPunct/>
        <w:topLinePunct w:val="0"/>
        <w:autoSpaceDE/>
        <w:autoSpaceDN/>
        <w:bidi w:val="0"/>
        <w:adjustRightInd/>
        <w:snapToGrid/>
        <w:spacing w:line="560" w:lineRule="exact"/>
        <w:ind w:firstLine="640"/>
        <w:textAlignment w:val="auto"/>
      </w:pPr>
      <w:r>
        <w:rPr>
          <w:rFonts w:hint="eastAsia"/>
        </w:rPr>
        <w:t>1、预测</w:t>
      </w:r>
      <w:r>
        <w:t>信息，包括</w:t>
      </w:r>
      <w:r>
        <w:rPr>
          <w:rFonts w:hint="eastAsia"/>
        </w:rPr>
        <w:t>通道输电能力和占用情况预测（公开信息）。</w:t>
      </w:r>
    </w:p>
    <w:p>
      <w:pPr>
        <w:pageBreakBefore w:val="0"/>
        <w:kinsoku/>
        <w:wordWrap/>
        <w:overflowPunct/>
        <w:topLinePunct w:val="0"/>
        <w:autoSpaceDE/>
        <w:autoSpaceDN/>
        <w:bidi w:val="0"/>
        <w:adjustRightInd/>
        <w:snapToGrid/>
        <w:spacing w:line="560" w:lineRule="exact"/>
        <w:ind w:firstLine="640"/>
        <w:textAlignment w:val="auto"/>
      </w:pPr>
      <w:r>
        <w:rPr>
          <w:rFonts w:hint="eastAsia"/>
        </w:rPr>
        <w:t>2、预测</w:t>
      </w:r>
      <w:r>
        <w:t>信息，包括</w:t>
      </w:r>
      <w:r>
        <w:rPr>
          <w:rFonts w:hint="eastAsia"/>
        </w:rPr>
        <w:t>跨省跨区联络线各</w:t>
      </w:r>
      <w:r>
        <w:t>交易时段</w:t>
      </w:r>
      <w:r>
        <w:rPr>
          <w:rFonts w:hint="eastAsia"/>
        </w:rPr>
        <w:t>输电能力预测（</w:t>
      </w:r>
      <w:r>
        <w:t>考虑所有已</w:t>
      </w:r>
      <w:r>
        <w:rPr>
          <w:rFonts w:hint="eastAsia"/>
        </w:rPr>
        <w:t>知影响</w:t>
      </w:r>
      <w:r>
        <w:t>）</w:t>
      </w:r>
      <w:r>
        <w:rPr>
          <w:rFonts w:hint="eastAsia"/>
        </w:rPr>
        <w:t>，周前新能源总出力预测，周前水电（含抽蓄）总出力预测，</w:t>
      </w:r>
      <w:r>
        <w:t>未来</w:t>
      </w:r>
      <w:r>
        <w:rPr>
          <w:rFonts w:hint="eastAsia"/>
        </w:rPr>
        <w:t>1</w:t>
      </w:r>
      <w:r>
        <w:t>-8</w:t>
      </w:r>
      <w:r>
        <w:rPr>
          <w:rFonts w:hint="eastAsia"/>
        </w:rPr>
        <w:t>周</w:t>
      </w:r>
      <w:r>
        <w:t>负荷预测</w:t>
      </w:r>
      <w:r>
        <w:rPr>
          <w:rFonts w:hint="eastAsia"/>
        </w:rPr>
        <w:t>（公开信息）。</w:t>
      </w:r>
    </w:p>
    <w:p>
      <w:pPr>
        <w:pageBreakBefore w:val="0"/>
        <w:kinsoku/>
        <w:wordWrap/>
        <w:overflowPunct/>
        <w:topLinePunct w:val="0"/>
        <w:autoSpaceDE/>
        <w:autoSpaceDN/>
        <w:bidi w:val="0"/>
        <w:adjustRightInd/>
        <w:snapToGrid/>
        <w:spacing w:line="560" w:lineRule="exact"/>
        <w:ind w:firstLine="640"/>
        <w:textAlignment w:val="auto"/>
      </w:pPr>
      <w:r>
        <w:rPr>
          <w:rFonts w:hint="eastAsia"/>
        </w:rPr>
        <w:t>3、执行</w:t>
      </w:r>
      <w:r>
        <w:t>信息，</w:t>
      </w:r>
      <w:r>
        <w:rPr>
          <w:rFonts w:hint="eastAsia"/>
        </w:rPr>
        <w:t>重要线路与变压器平均潮流与热稳定极限值（可视化）（公开信息）。</w:t>
      </w:r>
    </w:p>
    <w:p>
      <w:pPr>
        <w:pageBreakBefore w:val="0"/>
        <w:kinsoku/>
        <w:wordWrap/>
        <w:overflowPunct/>
        <w:topLinePunct w:val="0"/>
        <w:autoSpaceDE/>
        <w:autoSpaceDN/>
        <w:bidi w:val="0"/>
        <w:adjustRightInd/>
        <w:snapToGrid/>
        <w:spacing w:line="560" w:lineRule="exact"/>
        <w:ind w:firstLine="640"/>
        <w:textAlignment w:val="auto"/>
      </w:pPr>
      <w:r>
        <w:rPr>
          <w:rFonts w:hint="eastAsia"/>
        </w:rPr>
        <w:t>（四）日</w:t>
      </w:r>
      <w:r>
        <w:t>运行信息</w:t>
      </w:r>
    </w:p>
    <w:p>
      <w:pPr>
        <w:pageBreakBefore w:val="0"/>
        <w:kinsoku/>
        <w:wordWrap/>
        <w:overflowPunct/>
        <w:topLinePunct w:val="0"/>
        <w:autoSpaceDE/>
        <w:autoSpaceDN/>
        <w:bidi w:val="0"/>
        <w:adjustRightInd/>
        <w:snapToGrid/>
        <w:spacing w:line="560" w:lineRule="exact"/>
        <w:ind w:firstLine="640"/>
        <w:textAlignment w:val="auto"/>
      </w:pPr>
      <w:r>
        <w:rPr>
          <w:rFonts w:hint="eastAsia"/>
        </w:rPr>
        <w:t>1、日前预测信息，包括日前电网安全约束条件，</w:t>
      </w:r>
      <w:r>
        <w:rPr>
          <w:rFonts w:hint="eastAsia"/>
          <w:color w:val="000000" w:themeColor="text1"/>
          <w14:textFill>
            <w14:solidFill>
              <w14:schemeClr w14:val="tx1"/>
            </w14:solidFill>
          </w14:textFill>
        </w:rPr>
        <w:t>关键输电断面及线路传输限额、必开必停机组名单以及原因，开停机不满最小约束时间机组，输变电设备投产、退出和检修计划，发电机组检修计划，日前负荷预测，外来（外送）电交易计划，日前系统间联络线输电曲线预测，发电出力预测（总出力，各类电源类型机组出力，各类非市场机组出力），供需差额预测，辅助服务需求总量（公开信</w:t>
      </w:r>
      <w:r>
        <w:rPr>
          <w:rFonts w:hint="eastAsia"/>
        </w:rPr>
        <w:t>息）。</w:t>
      </w:r>
    </w:p>
    <w:p>
      <w:pPr>
        <w:pageBreakBefore w:val="0"/>
        <w:kinsoku/>
        <w:wordWrap/>
        <w:overflowPunct/>
        <w:topLinePunct w:val="0"/>
        <w:autoSpaceDE/>
        <w:autoSpaceDN/>
        <w:bidi w:val="0"/>
        <w:adjustRightInd/>
        <w:snapToGrid/>
        <w:spacing w:line="560" w:lineRule="exact"/>
        <w:ind w:firstLine="640"/>
        <w:textAlignment w:val="auto"/>
      </w:pPr>
      <w:r>
        <w:rPr>
          <w:rFonts w:hint="eastAsia"/>
        </w:rPr>
        <w:t>2、日内预测</w:t>
      </w:r>
      <w:r>
        <w:t>信息，包括</w:t>
      </w:r>
      <w:r>
        <w:rPr>
          <w:rFonts w:hint="eastAsia"/>
        </w:rPr>
        <w:t>省间联络线输电曲线预测信息（公开信息）。</w:t>
      </w:r>
    </w:p>
    <w:p>
      <w:pPr>
        <w:pageBreakBefore w:val="0"/>
        <w:kinsoku/>
        <w:wordWrap/>
        <w:overflowPunct/>
        <w:topLinePunct w:val="0"/>
        <w:autoSpaceDE/>
        <w:autoSpaceDN/>
        <w:bidi w:val="0"/>
        <w:adjustRightInd/>
        <w:snapToGrid/>
        <w:spacing w:line="560" w:lineRule="exact"/>
        <w:ind w:firstLine="640"/>
        <w:textAlignment w:val="auto"/>
        <w:rPr>
          <w:rFonts w:hint="eastAsia"/>
          <w:color w:val="000000" w:themeColor="text1"/>
          <w14:textFill>
            <w14:solidFill>
              <w14:schemeClr w14:val="tx1"/>
            </w14:solidFill>
          </w14:textFill>
        </w:rPr>
      </w:pPr>
      <w:r>
        <w:rPr>
          <w:rFonts w:hint="eastAsia"/>
        </w:rPr>
        <w:t>3、实时运</w:t>
      </w:r>
      <w:r>
        <w:t>行</w:t>
      </w:r>
      <w:r>
        <w:rPr>
          <w:rFonts w:hint="eastAsia"/>
        </w:rPr>
        <w:t>信息，包括分时段实际外来（外送）电、</w:t>
      </w:r>
      <w:r>
        <w:rPr>
          <w:rFonts w:hint="eastAsia"/>
          <w:color w:val="000000" w:themeColor="text1"/>
          <w14:textFill>
            <w14:solidFill>
              <w14:schemeClr w14:val="tx1"/>
            </w14:solidFill>
          </w14:textFill>
        </w:rPr>
        <w:t>机组实际发电出力曲线（总出力、各类型机组总出力、各类型非市场机组出力），实时负荷曲线，实时频率曲线，系统备用曲线，联络线潮流曲线，重要通道实际输电情况，实际运行输电断面约束情况，输变电设备检修计划执行情况，发电机组检修计划执行情况（公开信息）。</w:t>
      </w:r>
    </w:p>
    <w:p>
      <w:pPr>
        <w:pageBreakBefore w:val="0"/>
        <w:kinsoku/>
        <w:wordWrap/>
        <w:overflowPunct/>
        <w:topLinePunct w:val="0"/>
        <w:autoSpaceDE/>
        <w:autoSpaceDN/>
        <w:bidi w:val="0"/>
        <w:adjustRightInd/>
        <w:snapToGrid/>
        <w:spacing w:line="560" w:lineRule="exact"/>
        <w:ind w:firstLine="640"/>
        <w:textAlignment w:val="auto"/>
        <w:rPr>
          <w:color w:val="auto"/>
        </w:rPr>
      </w:pPr>
      <w:r>
        <w:rPr>
          <w:rFonts w:hint="eastAsia"/>
        </w:rPr>
        <w:t>4、日运行总体情况，</w:t>
      </w:r>
      <w:r>
        <w:t>包括</w:t>
      </w:r>
      <w:r>
        <w:rPr>
          <w:rFonts w:hint="eastAsia"/>
        </w:rPr>
        <w:t>全省</w:t>
      </w:r>
      <w:r>
        <w:t>用电量、最大用电负荷、峰谷差、发电量、水电发电量、火电发电量、新能源发电量、外送电量、外购电量、主要水库日末水位等（公开信息）。</w:t>
      </w:r>
      <w:r>
        <w:rPr>
          <w:rFonts w:hint="eastAsia"/>
          <w:color w:val="auto"/>
        </w:rPr>
        <w:t>电网运行信息中第（三）款（周运行信息中）第2、3点，以及第（四）款（日运行信息）第1至3点仅在现货运行期间按此披露。</w:t>
      </w:r>
    </w:p>
    <w:p>
      <w:pPr>
        <w:pStyle w:val="45"/>
        <w:pageBreakBefore w:val="0"/>
        <w:kinsoku/>
        <w:wordWrap/>
        <w:overflowPunct/>
        <w:topLinePunct w:val="0"/>
        <w:autoSpaceDE/>
        <w:autoSpaceDN/>
        <w:bidi w:val="0"/>
        <w:adjustRightInd/>
        <w:snapToGrid/>
        <w:spacing w:line="560" w:lineRule="exact"/>
        <w:ind w:firstLine="640"/>
        <w:textAlignment w:val="auto"/>
        <w:rPr>
          <w:color w:val="auto"/>
        </w:rPr>
      </w:pPr>
      <w:r>
        <w:rPr>
          <w:rFonts w:hint="eastAsia"/>
          <w:color w:val="auto"/>
        </w:rPr>
        <w:t>电力调度机构应披露的交易信息包括但不限于：</w:t>
      </w:r>
    </w:p>
    <w:p>
      <w:pPr>
        <w:pageBreakBefore w:val="0"/>
        <w:kinsoku/>
        <w:wordWrap/>
        <w:overflowPunct/>
        <w:topLinePunct w:val="0"/>
        <w:autoSpaceDE/>
        <w:autoSpaceDN/>
        <w:bidi w:val="0"/>
        <w:adjustRightInd/>
        <w:snapToGrid/>
        <w:spacing w:line="560" w:lineRule="exact"/>
        <w:ind w:firstLine="640"/>
        <w:textAlignment w:val="auto"/>
      </w:pPr>
      <w:r>
        <w:rPr>
          <w:rFonts w:hint="eastAsia"/>
        </w:rPr>
        <w:t>（一）中</w:t>
      </w:r>
      <w:r>
        <w:t>长</w:t>
      </w:r>
      <w:r>
        <w:rPr>
          <w:rFonts w:hint="eastAsia"/>
        </w:rPr>
        <w:t>期</w:t>
      </w:r>
      <w:r>
        <w:t>交易信息</w:t>
      </w:r>
    </w:p>
    <w:p>
      <w:pPr>
        <w:pageBreakBefore w:val="0"/>
        <w:kinsoku/>
        <w:wordWrap/>
        <w:overflowPunct/>
        <w:topLinePunct w:val="0"/>
        <w:autoSpaceDE/>
        <w:autoSpaceDN/>
        <w:bidi w:val="0"/>
        <w:adjustRightInd/>
        <w:snapToGrid/>
        <w:spacing w:line="560" w:lineRule="exact"/>
        <w:ind w:firstLine="640"/>
        <w:textAlignment w:val="auto"/>
      </w:pPr>
      <w:r>
        <w:rPr>
          <w:rFonts w:hint="eastAsia"/>
        </w:rPr>
        <w:t>1、预测</w:t>
      </w:r>
      <w:r>
        <w:t>类信息，</w:t>
      </w:r>
      <w:r>
        <w:rPr>
          <w:rFonts w:hint="eastAsia"/>
        </w:rPr>
        <w:t>辅助服务交易需求，年度优先发电合同电量及月度分解，月度优先发电合同计划，（公开信息）。</w:t>
      </w:r>
    </w:p>
    <w:p>
      <w:pPr>
        <w:pageBreakBefore w:val="0"/>
        <w:kinsoku/>
        <w:wordWrap/>
        <w:overflowPunct/>
        <w:topLinePunct w:val="0"/>
        <w:autoSpaceDE/>
        <w:autoSpaceDN/>
        <w:bidi w:val="0"/>
        <w:adjustRightInd/>
        <w:snapToGrid/>
        <w:spacing w:line="560" w:lineRule="exact"/>
        <w:ind w:firstLine="640"/>
        <w:textAlignment w:val="auto"/>
      </w:pPr>
      <w:r>
        <w:rPr>
          <w:rFonts w:hint="eastAsia"/>
        </w:rPr>
        <w:t>2、结算基础</w:t>
      </w:r>
      <w:r>
        <w:t>类信息，包括</w:t>
      </w:r>
      <w:r>
        <w:rPr>
          <w:rFonts w:hint="eastAsia"/>
        </w:rPr>
        <w:t>机组上网电量，机组跨省跨区交易日前发电计划电量及月度累加（含调度日内调整），机组辅助服务交易调用情况，机组并网运行考核费用及有偿辅助服务费用（私有信息，向电网公司、电力交易机构提供）。</w:t>
      </w:r>
    </w:p>
    <w:p>
      <w:pPr>
        <w:pageBreakBefore w:val="0"/>
        <w:kinsoku/>
        <w:wordWrap/>
        <w:overflowPunct/>
        <w:topLinePunct w:val="0"/>
        <w:autoSpaceDE/>
        <w:autoSpaceDN/>
        <w:bidi w:val="0"/>
        <w:adjustRightInd/>
        <w:snapToGrid/>
        <w:spacing w:line="560" w:lineRule="exact"/>
        <w:ind w:firstLine="640"/>
        <w:textAlignment w:val="auto"/>
      </w:pPr>
      <w:r>
        <w:rPr>
          <w:rFonts w:hint="eastAsia"/>
        </w:rPr>
        <w:t>3、</w:t>
      </w:r>
      <w:r>
        <w:t>市场执行类信息，包括</w:t>
      </w:r>
      <w:r>
        <w:rPr>
          <w:rFonts w:hint="eastAsia"/>
          <w:color w:val="auto"/>
          <w:highlight w:val="none"/>
        </w:rPr>
        <w:t>合同整体完成情况</w:t>
      </w:r>
      <w:r>
        <w:rPr>
          <w:rFonts w:hint="eastAsia"/>
        </w:rPr>
        <w:t>（</w:t>
      </w:r>
      <w:r>
        <w:t>公开信息）</w:t>
      </w:r>
      <w:r>
        <w:rPr>
          <w:rFonts w:hint="eastAsia"/>
        </w:rPr>
        <w:t>。</w:t>
      </w:r>
      <w:r>
        <w:t>市场主体发电计划完成进度情况（私有信息，向电力交易机构提供）</w:t>
      </w:r>
    </w:p>
    <w:p>
      <w:pPr>
        <w:pStyle w:val="45"/>
        <w:pageBreakBefore w:val="0"/>
        <w:numPr>
          <w:ilvl w:val="0"/>
          <w:numId w:val="0"/>
        </w:numPr>
        <w:kinsoku/>
        <w:wordWrap/>
        <w:overflowPunct/>
        <w:topLinePunct w:val="0"/>
        <w:autoSpaceDE/>
        <w:autoSpaceDN/>
        <w:bidi w:val="0"/>
        <w:adjustRightInd/>
        <w:snapToGrid/>
        <w:spacing w:line="560" w:lineRule="exact"/>
        <w:ind w:left="640"/>
        <w:textAlignment w:val="auto"/>
        <w:rPr>
          <w:color w:val="auto"/>
        </w:rPr>
      </w:pPr>
      <w:r>
        <w:rPr>
          <w:rFonts w:hint="eastAsia"/>
          <w:color w:val="auto"/>
        </w:rPr>
        <w:t>（</w:t>
      </w:r>
      <w:r>
        <w:rPr>
          <w:color w:val="auto"/>
        </w:rPr>
        <w:t>二）</w:t>
      </w:r>
      <w:r>
        <w:rPr>
          <w:rFonts w:hint="eastAsia"/>
          <w:color w:val="auto"/>
        </w:rPr>
        <w:t>现货交易信息</w:t>
      </w:r>
    </w:p>
    <w:p>
      <w:pPr>
        <w:pageBreakBefore w:val="0"/>
        <w:kinsoku/>
        <w:wordWrap/>
        <w:overflowPunct/>
        <w:topLinePunct w:val="0"/>
        <w:autoSpaceDE/>
        <w:autoSpaceDN/>
        <w:bidi w:val="0"/>
        <w:adjustRightInd/>
        <w:snapToGrid/>
        <w:spacing w:line="560" w:lineRule="exact"/>
        <w:ind w:firstLine="640"/>
        <w:textAlignment w:val="auto"/>
      </w:pPr>
      <w:r>
        <w:rPr>
          <w:rFonts w:hint="eastAsia"/>
        </w:rPr>
        <w:t>1、市场参数信息，包括市场出清模块算法及运行参数、价格限值、约束松弛惩罚因子等（公开信息）。</w:t>
      </w:r>
    </w:p>
    <w:p>
      <w:pPr>
        <w:pageBreakBefore w:val="0"/>
        <w:kinsoku/>
        <w:wordWrap/>
        <w:overflowPunct/>
        <w:topLinePunct w:val="0"/>
        <w:autoSpaceDE/>
        <w:autoSpaceDN/>
        <w:bidi w:val="0"/>
        <w:adjustRightInd/>
        <w:snapToGrid/>
        <w:spacing w:line="560" w:lineRule="exact"/>
        <w:ind w:firstLine="640"/>
        <w:textAlignment w:val="auto"/>
      </w:pPr>
      <w:r>
        <w:rPr>
          <w:rFonts w:hint="eastAsia"/>
        </w:rPr>
        <w:t>2、市场出清类信息，包括各时段日</w:t>
      </w:r>
      <w:r>
        <w:t>前、实时</w:t>
      </w:r>
      <w:r>
        <w:rPr>
          <w:rFonts w:hint="eastAsia"/>
        </w:rPr>
        <w:t>出清电价、出清总电量，辅助服务出清总电量</w:t>
      </w:r>
      <w:r>
        <w:t>及</w:t>
      </w:r>
      <w:r>
        <w:rPr>
          <w:rFonts w:hint="eastAsia"/>
        </w:rPr>
        <w:t>价格，各电压等级计算网损等（公开信息）；各</w:t>
      </w:r>
      <w:r>
        <w:t>市场主体日前</w:t>
      </w:r>
      <w:r>
        <w:rPr>
          <w:rFonts w:hint="eastAsia"/>
        </w:rPr>
        <w:t>、</w:t>
      </w:r>
      <w:r>
        <w:t>实时</w:t>
      </w:r>
      <w:r>
        <w:rPr>
          <w:rFonts w:hint="eastAsia"/>
        </w:rPr>
        <w:t>出清</w:t>
      </w:r>
      <w:r>
        <w:t>电</w:t>
      </w:r>
      <w:r>
        <w:rPr>
          <w:rFonts w:hint="eastAsia"/>
        </w:rPr>
        <w:t>量（</w:t>
      </w:r>
      <w:r>
        <w:t>私有信息，</w:t>
      </w:r>
      <w:r>
        <w:rPr>
          <w:rFonts w:hint="eastAsia"/>
        </w:rPr>
        <w:t>向</w:t>
      </w:r>
      <w:r>
        <w:t>市场主体</w:t>
      </w:r>
      <w:r>
        <w:rPr>
          <w:rFonts w:hint="eastAsia"/>
        </w:rPr>
        <w:t>、</w:t>
      </w:r>
      <w:r>
        <w:t>电力交易机构提供）。</w:t>
      </w:r>
    </w:p>
    <w:p>
      <w:pPr>
        <w:pageBreakBefore w:val="0"/>
        <w:kinsoku/>
        <w:wordWrap/>
        <w:overflowPunct/>
        <w:topLinePunct w:val="0"/>
        <w:autoSpaceDE/>
        <w:autoSpaceDN/>
        <w:bidi w:val="0"/>
        <w:adjustRightInd/>
        <w:snapToGrid/>
        <w:spacing w:line="560" w:lineRule="exact"/>
        <w:ind w:firstLine="640"/>
        <w:textAlignment w:val="auto"/>
      </w:pPr>
      <w:r>
        <w:rPr>
          <w:rFonts w:hint="eastAsia"/>
        </w:rPr>
        <w:t>3、市场</w:t>
      </w:r>
      <w:r>
        <w:t>干预信息，包括</w:t>
      </w:r>
      <w:r>
        <w:rPr>
          <w:rFonts w:hint="eastAsia"/>
        </w:rPr>
        <w:t>现货</w:t>
      </w:r>
      <w:r>
        <w:t>市场干预情况原始日志，包括干预时间、干预人员、干预操作、干预原因，涉及《电力安全事故应急处置和调查处理条例》（中华人民共和国国务院令第599号）规定电力安全事故等级的事故处理情形除外</w:t>
      </w:r>
      <w:r>
        <w:rPr>
          <w:rFonts w:hint="eastAsia"/>
        </w:rPr>
        <w:t>（公开信息）</w:t>
      </w:r>
      <w:r>
        <w:t>。</w:t>
      </w:r>
    </w:p>
    <w:p>
      <w:pPr>
        <w:pageBreakBefore w:val="0"/>
        <w:kinsoku/>
        <w:wordWrap/>
        <w:overflowPunct/>
        <w:topLinePunct w:val="0"/>
        <w:autoSpaceDE/>
        <w:autoSpaceDN/>
        <w:bidi w:val="0"/>
        <w:adjustRightInd/>
        <w:snapToGrid/>
        <w:spacing w:line="560" w:lineRule="exact"/>
        <w:ind w:firstLine="640"/>
        <w:textAlignment w:val="auto"/>
      </w:pPr>
      <w:r>
        <w:rPr>
          <w:rFonts w:hint="eastAsia"/>
        </w:rPr>
        <w:t>4、第三方校验报告（公开信息）。</w:t>
      </w:r>
    </w:p>
    <w:p>
      <w:pPr>
        <w:pStyle w:val="3"/>
        <w:pageBreakBefore w:val="0"/>
        <w:kinsoku/>
        <w:wordWrap/>
        <w:overflowPunct/>
        <w:topLinePunct w:val="0"/>
        <w:autoSpaceDE/>
        <w:autoSpaceDN/>
        <w:bidi w:val="0"/>
        <w:adjustRightInd/>
        <w:snapToGrid/>
        <w:spacing w:line="560" w:lineRule="exact"/>
        <w:textAlignment w:val="auto"/>
      </w:pPr>
      <w:r>
        <w:rPr>
          <w:rFonts w:hint="eastAsia"/>
        </w:rPr>
        <w:t>电力交易机构</w:t>
      </w:r>
    </w:p>
    <w:p>
      <w:pPr>
        <w:pStyle w:val="45"/>
        <w:pageBreakBefore w:val="0"/>
        <w:kinsoku/>
        <w:wordWrap/>
        <w:overflowPunct/>
        <w:topLinePunct w:val="0"/>
        <w:autoSpaceDE/>
        <w:autoSpaceDN/>
        <w:bidi w:val="0"/>
        <w:adjustRightInd/>
        <w:snapToGrid/>
        <w:spacing w:line="560" w:lineRule="exact"/>
        <w:ind w:firstLine="640"/>
        <w:textAlignment w:val="auto"/>
        <w:rPr>
          <w:color w:val="auto"/>
        </w:rPr>
      </w:pPr>
      <w:r>
        <w:rPr>
          <w:rFonts w:hint="eastAsia"/>
          <w:color w:val="auto"/>
        </w:rPr>
        <w:t>电力</w:t>
      </w:r>
      <w:r>
        <w:rPr>
          <w:color w:val="auto"/>
        </w:rPr>
        <w:t>交易机构</w:t>
      </w:r>
      <w:r>
        <w:rPr>
          <w:rFonts w:hint="eastAsia"/>
          <w:color w:val="auto"/>
        </w:rPr>
        <w:t>应</w:t>
      </w:r>
      <w:r>
        <w:rPr>
          <w:color w:val="auto"/>
        </w:rPr>
        <w:t>披露的</w:t>
      </w:r>
      <w:r>
        <w:rPr>
          <w:rFonts w:hint="eastAsia"/>
          <w:color w:val="auto"/>
        </w:rPr>
        <w:t>基本信息包括但</w:t>
      </w:r>
      <w:r>
        <w:rPr>
          <w:color w:val="auto"/>
        </w:rPr>
        <w:t>不限于</w:t>
      </w:r>
      <w:r>
        <w:rPr>
          <w:rFonts w:hint="eastAsia"/>
          <w:color w:val="auto"/>
        </w:rPr>
        <w:t>：</w:t>
      </w:r>
    </w:p>
    <w:p>
      <w:pPr>
        <w:pageBreakBefore w:val="0"/>
        <w:kinsoku/>
        <w:wordWrap/>
        <w:overflowPunct/>
        <w:topLinePunct w:val="0"/>
        <w:autoSpaceDE/>
        <w:autoSpaceDN/>
        <w:bidi w:val="0"/>
        <w:adjustRightInd/>
        <w:snapToGrid/>
        <w:spacing w:line="560" w:lineRule="exact"/>
        <w:ind w:firstLine="640"/>
        <w:textAlignment w:val="auto"/>
      </w:pPr>
      <w:r>
        <w:rPr>
          <w:rFonts w:hint="eastAsia"/>
        </w:rPr>
        <w:t>（一）企业全称，企业性质，组织机构，股权结构，工商注册时间，营业执照，法人，联系人，联系方式，交易大厅地址，互联网站网址（公众信息）。</w:t>
      </w:r>
    </w:p>
    <w:p>
      <w:pPr>
        <w:pageBreakBefore w:val="0"/>
        <w:kinsoku/>
        <w:wordWrap/>
        <w:overflowPunct/>
        <w:topLinePunct w:val="0"/>
        <w:autoSpaceDE/>
        <w:autoSpaceDN/>
        <w:bidi w:val="0"/>
        <w:adjustRightInd/>
        <w:snapToGrid/>
        <w:spacing w:line="560" w:lineRule="exact"/>
        <w:ind w:firstLine="640"/>
        <w:textAlignment w:val="auto"/>
      </w:pPr>
      <w:r>
        <w:rPr>
          <w:rFonts w:hint="eastAsia"/>
        </w:rPr>
        <w:t>（二）</w:t>
      </w:r>
      <w:r>
        <w:t>电力市场适用的法律法规、政策文件</w:t>
      </w:r>
      <w:r>
        <w:rPr>
          <w:rFonts w:hint="eastAsia"/>
        </w:rPr>
        <w:t>，</w:t>
      </w:r>
      <w:r>
        <w:t>电力市场规则类信息，包括交易规则、交易相关收费标准，制定、修订市场规则过程中涉及的解释性文档，对市场主体问询的答复等</w:t>
      </w:r>
      <w:r>
        <w:rPr>
          <w:rFonts w:hint="eastAsia"/>
        </w:rPr>
        <w:t>（公众信息）</w:t>
      </w:r>
      <w:r>
        <w:t>。</w:t>
      </w:r>
    </w:p>
    <w:p>
      <w:pPr>
        <w:pageBreakBefore w:val="0"/>
        <w:kinsoku/>
        <w:wordWrap/>
        <w:overflowPunct/>
        <w:topLinePunct w:val="0"/>
        <w:autoSpaceDE/>
        <w:autoSpaceDN/>
        <w:bidi w:val="0"/>
        <w:adjustRightInd/>
        <w:snapToGrid/>
        <w:spacing w:line="560" w:lineRule="exact"/>
        <w:ind w:firstLine="640"/>
        <w:textAlignment w:val="auto"/>
      </w:pPr>
      <w:r>
        <w:rPr>
          <w:rFonts w:hint="eastAsia"/>
        </w:rPr>
        <w:t>（三）市场主体费用组成信息，包括费用说明以及核定方式（公众信息）。</w:t>
      </w:r>
    </w:p>
    <w:p>
      <w:pPr>
        <w:pageBreakBefore w:val="0"/>
        <w:kinsoku/>
        <w:wordWrap/>
        <w:overflowPunct/>
        <w:topLinePunct w:val="0"/>
        <w:autoSpaceDE/>
        <w:autoSpaceDN/>
        <w:bidi w:val="0"/>
        <w:adjustRightInd/>
        <w:snapToGrid/>
        <w:spacing w:line="560" w:lineRule="exact"/>
        <w:ind w:firstLine="640"/>
        <w:textAlignment w:val="auto"/>
      </w:pPr>
      <w:r>
        <w:rPr>
          <w:rFonts w:hint="eastAsia"/>
        </w:rPr>
        <w:t>（四）电力</w:t>
      </w:r>
      <w:r>
        <w:t>市场适用的</w:t>
      </w:r>
      <w:r>
        <w:rPr>
          <w:rFonts w:hint="eastAsia"/>
        </w:rPr>
        <w:t>标准规范类信息，包括规范指引、操作手册、业务指南，市场主体注册流程，争议解决流程信息，市场力检测流程，数据通信格式流程细则等（公众信息）。</w:t>
      </w:r>
    </w:p>
    <w:p>
      <w:pPr>
        <w:pageBreakBefore w:val="0"/>
        <w:kinsoku/>
        <w:wordWrap/>
        <w:overflowPunct/>
        <w:topLinePunct w:val="0"/>
        <w:autoSpaceDE/>
        <w:autoSpaceDN/>
        <w:bidi w:val="0"/>
        <w:adjustRightInd/>
        <w:snapToGrid/>
        <w:spacing w:line="560" w:lineRule="exact"/>
        <w:ind w:firstLine="640"/>
        <w:textAlignment w:val="auto"/>
      </w:pPr>
      <w:r>
        <w:rPr>
          <w:rFonts w:hint="eastAsia"/>
        </w:rPr>
        <w:t>（五）</w:t>
      </w:r>
      <w:r>
        <w:t>其他政策法规要求向社会公众公开的信息</w:t>
      </w:r>
      <w:r>
        <w:rPr>
          <w:rFonts w:hint="eastAsia"/>
        </w:rPr>
        <w:t>（公众信息）</w:t>
      </w:r>
      <w:r>
        <w:t>。</w:t>
      </w:r>
    </w:p>
    <w:p>
      <w:pPr>
        <w:pStyle w:val="45"/>
        <w:pageBreakBefore w:val="0"/>
        <w:kinsoku/>
        <w:wordWrap/>
        <w:overflowPunct/>
        <w:topLinePunct w:val="0"/>
        <w:autoSpaceDE/>
        <w:autoSpaceDN/>
        <w:bidi w:val="0"/>
        <w:adjustRightInd/>
        <w:snapToGrid/>
        <w:spacing w:line="560" w:lineRule="exact"/>
        <w:ind w:firstLine="640"/>
        <w:textAlignment w:val="auto"/>
        <w:rPr>
          <w:color w:val="auto"/>
        </w:rPr>
      </w:pPr>
      <w:r>
        <w:rPr>
          <w:rFonts w:hint="eastAsia"/>
          <w:color w:val="auto"/>
        </w:rPr>
        <w:t>电力</w:t>
      </w:r>
      <w:r>
        <w:rPr>
          <w:color w:val="auto"/>
        </w:rPr>
        <w:t>交易机</w:t>
      </w:r>
      <w:r>
        <w:rPr>
          <w:rFonts w:hint="eastAsia"/>
          <w:color w:val="auto"/>
        </w:rPr>
        <w:t>构应</w:t>
      </w:r>
      <w:r>
        <w:rPr>
          <w:color w:val="auto"/>
        </w:rPr>
        <w:t>披露的</w:t>
      </w:r>
      <w:r>
        <w:rPr>
          <w:rFonts w:hint="eastAsia"/>
          <w:color w:val="auto"/>
        </w:rPr>
        <w:t>市场成员基本情况</w:t>
      </w:r>
      <w:r>
        <w:rPr>
          <w:color w:val="auto"/>
        </w:rPr>
        <w:t>信息</w:t>
      </w:r>
      <w:r>
        <w:rPr>
          <w:rFonts w:hint="eastAsia"/>
          <w:color w:val="auto"/>
        </w:rPr>
        <w:t>包括但不限于：</w:t>
      </w:r>
    </w:p>
    <w:p>
      <w:pPr>
        <w:pageBreakBefore w:val="0"/>
        <w:kinsoku/>
        <w:wordWrap/>
        <w:overflowPunct/>
        <w:topLinePunct w:val="0"/>
        <w:autoSpaceDE/>
        <w:autoSpaceDN/>
        <w:bidi w:val="0"/>
        <w:adjustRightInd/>
        <w:snapToGrid/>
        <w:spacing w:line="560" w:lineRule="exact"/>
        <w:ind w:firstLine="640"/>
        <w:textAlignment w:val="auto"/>
      </w:pPr>
      <w:r>
        <w:rPr>
          <w:rFonts w:hint="eastAsia"/>
        </w:rPr>
        <w:t>（一）市场成员注册基本信息</w:t>
      </w:r>
      <w:r>
        <w:t>，包括市场成员</w:t>
      </w:r>
      <w:r>
        <w:rPr>
          <w:rFonts w:hint="eastAsia"/>
        </w:rPr>
        <w:t>注册公示信息，市场成员名单（注册市场成员名称、交易简称交易号），市场注册总体情况（</w:t>
      </w:r>
      <w:r>
        <w:t>新增、</w:t>
      </w:r>
      <w:r>
        <w:rPr>
          <w:rFonts w:hint="eastAsia"/>
        </w:rPr>
        <w:t>退</w:t>
      </w:r>
      <w:r>
        <w:t>出）</w:t>
      </w:r>
      <w:r>
        <w:rPr>
          <w:rFonts w:hint="eastAsia"/>
        </w:rPr>
        <w:t>（公开信息）。</w:t>
      </w:r>
    </w:p>
    <w:p>
      <w:pPr>
        <w:pageBreakBefore w:val="0"/>
        <w:kinsoku/>
        <w:wordWrap/>
        <w:overflowPunct/>
        <w:topLinePunct w:val="0"/>
        <w:autoSpaceDE/>
        <w:autoSpaceDN/>
        <w:bidi w:val="0"/>
        <w:adjustRightInd/>
        <w:snapToGrid/>
        <w:spacing w:line="560" w:lineRule="exact"/>
        <w:ind w:firstLine="640"/>
        <w:textAlignment w:val="auto"/>
      </w:pPr>
      <w:r>
        <w:rPr>
          <w:rFonts w:hint="eastAsia"/>
        </w:rPr>
        <w:t>（二）市场成员合</w:t>
      </w:r>
      <w:r>
        <w:t>规</w:t>
      </w:r>
      <w:r>
        <w:rPr>
          <w:rFonts w:hint="eastAsia"/>
        </w:rPr>
        <w:t>信息</w:t>
      </w:r>
      <w:r>
        <w:t>，包括</w:t>
      </w:r>
      <w:r>
        <w:rPr>
          <w:rFonts w:hint="eastAsia"/>
        </w:rPr>
        <w:t>负面清单、观察名单、黑名单、市场成员信用评价情况、市场违约违规及整改处理情况（公众信息）；市场争议解决结果（公开信息）。</w:t>
      </w:r>
    </w:p>
    <w:p>
      <w:pPr>
        <w:pageBreakBefore w:val="0"/>
        <w:kinsoku/>
        <w:wordWrap/>
        <w:overflowPunct/>
        <w:topLinePunct w:val="0"/>
        <w:autoSpaceDE/>
        <w:autoSpaceDN/>
        <w:bidi w:val="0"/>
        <w:adjustRightInd/>
        <w:snapToGrid/>
        <w:spacing w:line="560" w:lineRule="exact"/>
        <w:ind w:firstLine="640"/>
        <w:textAlignment w:val="auto"/>
      </w:pPr>
      <w:r>
        <w:rPr>
          <w:rFonts w:hint="eastAsia"/>
        </w:rPr>
        <w:t>（三）各售电公司年允许售电规模，实际售电规模、签约用户数量，</w:t>
      </w:r>
      <w:r>
        <w:t>履约保函缴纳信息</w:t>
      </w:r>
      <w:r>
        <w:rPr>
          <w:rFonts w:hint="eastAsia"/>
        </w:rPr>
        <w:t>（公开信息）。</w:t>
      </w:r>
    </w:p>
    <w:p>
      <w:pPr>
        <w:pageBreakBefore w:val="0"/>
        <w:kinsoku/>
        <w:wordWrap/>
        <w:overflowPunct/>
        <w:topLinePunct w:val="0"/>
        <w:autoSpaceDE/>
        <w:autoSpaceDN/>
        <w:bidi w:val="0"/>
        <w:adjustRightInd/>
        <w:snapToGrid/>
        <w:spacing w:line="560" w:lineRule="exact"/>
        <w:ind w:firstLine="640"/>
        <w:textAlignment w:val="auto"/>
      </w:pPr>
      <w:r>
        <w:rPr>
          <w:rFonts w:hint="eastAsia"/>
        </w:rPr>
        <w:t>（</w:t>
      </w:r>
      <w:r>
        <w:t>四）</w:t>
      </w:r>
      <w:r>
        <w:rPr>
          <w:rFonts w:hint="eastAsia"/>
        </w:rPr>
        <w:t>售</w:t>
      </w:r>
      <w:r>
        <w:t>电公司</w:t>
      </w:r>
      <w:r>
        <w:rPr>
          <w:rFonts w:hint="eastAsia"/>
        </w:rPr>
        <w:t>签约</w:t>
      </w:r>
      <w:r>
        <w:t>用户</w:t>
      </w:r>
      <w:r>
        <w:rPr>
          <w:rFonts w:hint="eastAsia"/>
        </w:rPr>
        <w:t>代理关系信息</w:t>
      </w:r>
      <w:r>
        <w:t>（私有信息，向电网公司</w:t>
      </w:r>
      <w:r>
        <w:rPr>
          <w:rFonts w:hint="eastAsia"/>
        </w:rPr>
        <w:t>提供</w:t>
      </w:r>
      <w:r>
        <w:t>）。</w:t>
      </w:r>
    </w:p>
    <w:p>
      <w:pPr>
        <w:pStyle w:val="45"/>
        <w:pageBreakBefore w:val="0"/>
        <w:kinsoku/>
        <w:wordWrap/>
        <w:overflowPunct/>
        <w:topLinePunct w:val="0"/>
        <w:autoSpaceDE/>
        <w:autoSpaceDN/>
        <w:bidi w:val="0"/>
        <w:adjustRightInd/>
        <w:snapToGrid/>
        <w:spacing w:line="560" w:lineRule="exact"/>
        <w:ind w:firstLine="640"/>
        <w:textAlignment w:val="auto"/>
        <w:rPr>
          <w:color w:val="auto"/>
        </w:rPr>
      </w:pPr>
      <w:r>
        <w:rPr>
          <w:rFonts w:hint="eastAsia"/>
          <w:color w:val="auto"/>
        </w:rPr>
        <w:t>电力</w:t>
      </w:r>
      <w:r>
        <w:rPr>
          <w:color w:val="auto"/>
        </w:rPr>
        <w:t>交易机</w:t>
      </w:r>
      <w:r>
        <w:rPr>
          <w:rFonts w:hint="eastAsia"/>
          <w:color w:val="auto"/>
        </w:rPr>
        <w:t>构应</w:t>
      </w:r>
      <w:r>
        <w:rPr>
          <w:color w:val="auto"/>
        </w:rPr>
        <w:t>披露的</w:t>
      </w:r>
      <w:r>
        <w:rPr>
          <w:rFonts w:hint="eastAsia"/>
          <w:color w:val="auto"/>
        </w:rPr>
        <w:t>报告类</w:t>
      </w:r>
      <w:r>
        <w:rPr>
          <w:color w:val="auto"/>
        </w:rPr>
        <w:t>信息</w:t>
      </w:r>
      <w:r>
        <w:rPr>
          <w:rFonts w:hint="eastAsia"/>
          <w:color w:val="auto"/>
        </w:rPr>
        <w:t>包括但不限于：</w:t>
      </w:r>
    </w:p>
    <w:p>
      <w:pPr>
        <w:pageBreakBefore w:val="0"/>
        <w:kinsoku/>
        <w:wordWrap/>
        <w:overflowPunct/>
        <w:topLinePunct w:val="0"/>
        <w:autoSpaceDE/>
        <w:autoSpaceDN/>
        <w:bidi w:val="0"/>
        <w:adjustRightInd/>
        <w:snapToGrid/>
        <w:spacing w:line="560" w:lineRule="exact"/>
        <w:ind w:firstLine="640"/>
        <w:textAlignment w:val="auto"/>
      </w:pPr>
      <w:r>
        <w:rPr>
          <w:rFonts w:hint="eastAsia"/>
        </w:rPr>
        <w:t>（</w:t>
      </w:r>
      <w:r>
        <w:t>一）</w:t>
      </w:r>
      <w:r>
        <w:rPr>
          <w:rFonts w:hint="eastAsia"/>
        </w:rPr>
        <w:t>年</w:t>
      </w:r>
      <w:r>
        <w:t>度报告</w:t>
      </w:r>
    </w:p>
    <w:p>
      <w:pPr>
        <w:pageBreakBefore w:val="0"/>
        <w:kinsoku/>
        <w:wordWrap/>
        <w:overflowPunct/>
        <w:topLinePunct w:val="0"/>
        <w:autoSpaceDE/>
        <w:autoSpaceDN/>
        <w:bidi w:val="0"/>
        <w:adjustRightInd/>
        <w:snapToGrid/>
        <w:spacing w:line="560" w:lineRule="exact"/>
        <w:ind w:firstLine="640"/>
        <w:textAlignment w:val="auto"/>
      </w:pPr>
      <w:r>
        <w:rPr>
          <w:rFonts w:hint="eastAsia"/>
        </w:rPr>
        <w:t>1、</w:t>
      </w:r>
      <w:r>
        <w:t>电力交易机构</w:t>
      </w:r>
      <w:r>
        <w:rPr>
          <w:rFonts w:hint="eastAsia"/>
        </w:rPr>
        <w:t>年</w:t>
      </w:r>
      <w:r>
        <w:t>度财务审计报告</w:t>
      </w:r>
      <w:r>
        <w:rPr>
          <w:rFonts w:hint="eastAsia"/>
        </w:rPr>
        <w:t>（</w:t>
      </w:r>
      <w:r>
        <w:t>公开信息）。</w:t>
      </w:r>
    </w:p>
    <w:p>
      <w:pPr>
        <w:pageBreakBefore w:val="0"/>
        <w:kinsoku/>
        <w:wordWrap/>
        <w:overflowPunct/>
        <w:topLinePunct w:val="0"/>
        <w:autoSpaceDE/>
        <w:autoSpaceDN/>
        <w:bidi w:val="0"/>
        <w:adjustRightInd/>
        <w:snapToGrid/>
        <w:spacing w:line="560" w:lineRule="exact"/>
        <w:ind w:firstLine="640"/>
        <w:textAlignment w:val="auto"/>
      </w:pPr>
      <w:r>
        <w:rPr>
          <w:rFonts w:hint="eastAsia"/>
        </w:rPr>
        <w:t>2、</w:t>
      </w:r>
      <w:r>
        <w:t>年度电力市场</w:t>
      </w:r>
      <w:r>
        <w:rPr>
          <w:rFonts w:hint="eastAsia"/>
        </w:rPr>
        <w:t>信息披露</w:t>
      </w:r>
      <w:r>
        <w:t>报告</w:t>
      </w:r>
      <w:r>
        <w:rPr>
          <w:rFonts w:hint="eastAsia"/>
        </w:rPr>
        <w:t>，</w:t>
      </w:r>
      <w:r>
        <w:t>内容</w:t>
      </w:r>
      <w:r>
        <w:rPr>
          <w:rFonts w:hint="eastAsia"/>
        </w:rPr>
        <w:t>应</w:t>
      </w:r>
      <w:r>
        <w:t>当包含但不</w:t>
      </w:r>
      <w:r>
        <w:rPr>
          <w:rFonts w:hint="eastAsia"/>
        </w:rPr>
        <w:t>限</w:t>
      </w:r>
      <w:r>
        <w:t>于</w:t>
      </w:r>
      <w:r>
        <w:rPr>
          <w:rFonts w:hint="eastAsia"/>
        </w:rPr>
        <w:t>电</w:t>
      </w:r>
      <w:r>
        <w:t>网概况、市场准</w:t>
      </w:r>
      <w:r>
        <w:rPr>
          <w:rFonts w:hint="eastAsia"/>
        </w:rPr>
        <w:t>入</w:t>
      </w:r>
      <w:r>
        <w:t>、</w:t>
      </w:r>
      <w:r>
        <w:rPr>
          <w:rFonts w:hint="eastAsia"/>
        </w:rPr>
        <w:t>市场交易、市场结算、合</w:t>
      </w:r>
      <w:r>
        <w:t>同履约、</w:t>
      </w:r>
      <w:r>
        <w:rPr>
          <w:rFonts w:hint="eastAsia"/>
        </w:rPr>
        <w:t>市场建设等公开信息）。</w:t>
      </w:r>
    </w:p>
    <w:p>
      <w:pPr>
        <w:pageBreakBefore w:val="0"/>
        <w:kinsoku/>
        <w:wordWrap/>
        <w:overflowPunct/>
        <w:topLinePunct w:val="0"/>
        <w:autoSpaceDE/>
        <w:autoSpaceDN/>
        <w:bidi w:val="0"/>
        <w:adjustRightInd/>
        <w:snapToGrid/>
        <w:spacing w:line="560" w:lineRule="exact"/>
        <w:ind w:firstLine="640"/>
        <w:textAlignment w:val="auto"/>
      </w:pPr>
      <w:r>
        <w:rPr>
          <w:rFonts w:hint="eastAsia"/>
        </w:rPr>
        <w:t>（</w:t>
      </w:r>
      <w:r>
        <w:t>二）月</w:t>
      </w:r>
      <w:r>
        <w:rPr>
          <w:rFonts w:hint="eastAsia"/>
        </w:rPr>
        <w:t>度</w:t>
      </w:r>
      <w:r>
        <w:t>报告</w:t>
      </w:r>
    </w:p>
    <w:p>
      <w:pPr>
        <w:pageBreakBefore w:val="0"/>
        <w:kinsoku/>
        <w:wordWrap/>
        <w:overflowPunct/>
        <w:topLinePunct w:val="0"/>
        <w:autoSpaceDE/>
        <w:autoSpaceDN/>
        <w:bidi w:val="0"/>
        <w:adjustRightInd/>
        <w:snapToGrid/>
        <w:spacing w:line="560" w:lineRule="exact"/>
        <w:ind w:firstLine="640"/>
        <w:textAlignment w:val="auto"/>
      </w:pPr>
      <w:r>
        <w:rPr>
          <w:rFonts w:hint="eastAsia"/>
        </w:rPr>
        <w:t>月度</w:t>
      </w:r>
      <w:r>
        <w:t>信息披露报告</w:t>
      </w:r>
      <w:r>
        <w:rPr>
          <w:rFonts w:hint="eastAsia"/>
        </w:rPr>
        <w:t>，报告内容应当包含但不限于电网概况、电力供需及预测情况、市场准入、市场交易、市场结算、市场建设、违规情况、市场干预情况以</w:t>
      </w:r>
      <w:r>
        <w:t>及电网运行情况</w:t>
      </w:r>
      <w:r>
        <w:rPr>
          <w:rFonts w:hint="eastAsia"/>
        </w:rPr>
        <w:t>等（公开信息）。</w:t>
      </w:r>
    </w:p>
    <w:p>
      <w:pPr>
        <w:pageBreakBefore w:val="0"/>
        <w:kinsoku/>
        <w:wordWrap/>
        <w:overflowPunct/>
        <w:topLinePunct w:val="0"/>
        <w:autoSpaceDE/>
        <w:autoSpaceDN/>
        <w:bidi w:val="0"/>
        <w:adjustRightInd/>
        <w:snapToGrid/>
        <w:spacing w:line="560" w:lineRule="exact"/>
        <w:ind w:firstLine="640"/>
        <w:textAlignment w:val="auto"/>
      </w:pPr>
      <w:r>
        <w:rPr>
          <w:rFonts w:hint="eastAsia"/>
        </w:rPr>
        <w:t>（三</w:t>
      </w:r>
      <w:r>
        <w:t>）</w:t>
      </w:r>
      <w:r>
        <w:rPr>
          <w:rFonts w:hint="eastAsia"/>
        </w:rPr>
        <w:t>不定期</w:t>
      </w:r>
      <w:r>
        <w:t>报告</w:t>
      </w:r>
    </w:p>
    <w:p>
      <w:pPr>
        <w:pageBreakBefore w:val="0"/>
        <w:kinsoku/>
        <w:wordWrap/>
        <w:overflowPunct/>
        <w:topLinePunct w:val="0"/>
        <w:autoSpaceDE/>
        <w:autoSpaceDN/>
        <w:bidi w:val="0"/>
        <w:adjustRightInd/>
        <w:snapToGrid/>
        <w:spacing w:line="560" w:lineRule="exact"/>
        <w:ind w:firstLine="640"/>
        <w:textAlignment w:val="auto"/>
      </w:pPr>
      <w:r>
        <w:rPr>
          <w:rFonts w:hint="eastAsia"/>
        </w:rPr>
        <w:t>1、</w:t>
      </w:r>
      <w:r>
        <w:t>经</w:t>
      </w:r>
      <w:r>
        <w:rPr>
          <w:rFonts w:hint="eastAsia"/>
        </w:rPr>
        <w:t>四川能源监管办</w:t>
      </w:r>
      <w:r>
        <w:t>或者</w:t>
      </w:r>
      <w:r>
        <w:rPr>
          <w:rFonts w:hint="eastAsia"/>
        </w:rPr>
        <w:t>省政府</w:t>
      </w:r>
      <w:r>
        <w:t>电力管理部门认定的违规行为通报</w:t>
      </w:r>
      <w:r>
        <w:rPr>
          <w:rFonts w:hint="eastAsia"/>
        </w:rPr>
        <w:t>（公开信息）。</w:t>
      </w:r>
    </w:p>
    <w:p>
      <w:pPr>
        <w:pageBreakBefore w:val="0"/>
        <w:kinsoku/>
        <w:wordWrap/>
        <w:overflowPunct/>
        <w:topLinePunct w:val="0"/>
        <w:autoSpaceDE/>
        <w:autoSpaceDN/>
        <w:bidi w:val="0"/>
        <w:adjustRightInd/>
        <w:snapToGrid/>
        <w:spacing w:line="560" w:lineRule="exact"/>
        <w:ind w:firstLine="640"/>
        <w:textAlignment w:val="auto"/>
      </w:pPr>
      <w:r>
        <w:rPr>
          <w:rFonts w:hint="eastAsia"/>
        </w:rPr>
        <w:t>2、中长期</w:t>
      </w:r>
      <w:r>
        <w:t>市场暂停、中止、重新启动</w:t>
      </w:r>
      <w:r>
        <w:rPr>
          <w:rFonts w:hint="eastAsia"/>
        </w:rPr>
        <w:t>、</w:t>
      </w:r>
      <w:r>
        <w:t>市场干预等情况</w:t>
      </w:r>
      <w:r>
        <w:rPr>
          <w:rFonts w:hint="eastAsia"/>
        </w:rPr>
        <w:t>报告（公众信息）</w:t>
      </w:r>
      <w:r>
        <w:t>。</w:t>
      </w:r>
    </w:p>
    <w:p>
      <w:pPr>
        <w:pStyle w:val="45"/>
        <w:pageBreakBefore w:val="0"/>
        <w:kinsoku/>
        <w:wordWrap/>
        <w:overflowPunct/>
        <w:topLinePunct w:val="0"/>
        <w:autoSpaceDE/>
        <w:autoSpaceDN/>
        <w:bidi w:val="0"/>
        <w:adjustRightInd/>
        <w:snapToGrid/>
        <w:spacing w:line="560" w:lineRule="exact"/>
        <w:ind w:firstLine="640"/>
        <w:textAlignment w:val="auto"/>
        <w:rPr>
          <w:color w:val="auto"/>
        </w:rPr>
      </w:pPr>
      <w:r>
        <w:rPr>
          <w:rFonts w:hint="eastAsia"/>
          <w:color w:val="auto"/>
        </w:rPr>
        <w:t>电力</w:t>
      </w:r>
      <w:r>
        <w:rPr>
          <w:color w:val="auto"/>
        </w:rPr>
        <w:t>交易机构</w:t>
      </w:r>
      <w:r>
        <w:rPr>
          <w:rFonts w:hint="eastAsia"/>
          <w:color w:val="auto"/>
        </w:rPr>
        <w:t>应</w:t>
      </w:r>
      <w:r>
        <w:rPr>
          <w:color w:val="auto"/>
        </w:rPr>
        <w:t>披露的</w:t>
      </w:r>
      <w:r>
        <w:rPr>
          <w:rFonts w:hint="eastAsia"/>
          <w:color w:val="auto"/>
        </w:rPr>
        <w:t>交易信息包括但</w:t>
      </w:r>
      <w:r>
        <w:rPr>
          <w:color w:val="auto"/>
        </w:rPr>
        <w:t>不限于</w:t>
      </w:r>
      <w:r>
        <w:rPr>
          <w:rFonts w:hint="eastAsia"/>
          <w:color w:val="auto"/>
        </w:rPr>
        <w:t>：</w:t>
      </w:r>
    </w:p>
    <w:p>
      <w:pPr>
        <w:pageBreakBefore w:val="0"/>
        <w:kinsoku/>
        <w:wordWrap/>
        <w:overflowPunct/>
        <w:topLinePunct w:val="0"/>
        <w:autoSpaceDE/>
        <w:autoSpaceDN/>
        <w:bidi w:val="0"/>
        <w:adjustRightInd/>
        <w:snapToGrid/>
        <w:spacing w:line="560" w:lineRule="exact"/>
        <w:ind w:firstLine="640"/>
        <w:textAlignment w:val="auto"/>
      </w:pPr>
      <w:r>
        <w:rPr>
          <w:rFonts w:hint="eastAsia"/>
        </w:rPr>
        <w:t>（一）年度交易信息</w:t>
      </w:r>
    </w:p>
    <w:p>
      <w:pPr>
        <w:pageBreakBefore w:val="0"/>
        <w:kinsoku/>
        <w:wordWrap/>
        <w:overflowPunct/>
        <w:topLinePunct w:val="0"/>
        <w:autoSpaceDE/>
        <w:autoSpaceDN/>
        <w:bidi w:val="0"/>
        <w:adjustRightInd/>
        <w:snapToGrid/>
        <w:spacing w:line="560" w:lineRule="exact"/>
        <w:ind w:firstLine="640"/>
        <w:textAlignment w:val="auto"/>
      </w:pPr>
      <w:r>
        <w:rPr>
          <w:rFonts w:hint="eastAsia"/>
        </w:rPr>
        <w:t>1、预测</w:t>
      </w:r>
      <w:r>
        <w:t>信息，包括</w:t>
      </w:r>
      <w:r>
        <w:rPr>
          <w:rFonts w:hint="eastAsia"/>
        </w:rPr>
        <w:t>留川电量计划，外购、外送电计划，发、用电市场化规模预测，各类交易计划安排</w:t>
      </w:r>
      <w:r>
        <w:t>等。</w:t>
      </w:r>
      <w:r>
        <w:rPr>
          <w:rFonts w:hint="eastAsia"/>
        </w:rPr>
        <w:t>（公开信息）。</w:t>
      </w:r>
    </w:p>
    <w:p>
      <w:pPr>
        <w:pageBreakBefore w:val="0"/>
        <w:kinsoku/>
        <w:wordWrap/>
        <w:overflowPunct/>
        <w:topLinePunct w:val="0"/>
        <w:autoSpaceDE/>
        <w:autoSpaceDN/>
        <w:bidi w:val="0"/>
        <w:adjustRightInd/>
        <w:snapToGrid/>
        <w:spacing w:line="560" w:lineRule="exact"/>
        <w:ind w:firstLine="640"/>
        <w:textAlignment w:val="auto"/>
      </w:pPr>
      <w:r>
        <w:rPr>
          <w:rFonts w:hint="eastAsia"/>
        </w:rPr>
        <w:t>2、年</w:t>
      </w:r>
      <w:r>
        <w:t>度</w:t>
      </w:r>
      <w:r>
        <w:rPr>
          <w:rFonts w:hint="eastAsia"/>
        </w:rPr>
        <w:t>交易公告信息，</w:t>
      </w:r>
      <w:r>
        <w:t>包括</w:t>
      </w:r>
      <w:r>
        <w:rPr>
          <w:rFonts w:hint="eastAsia"/>
        </w:rPr>
        <w:t>交易品种，交易主体，交易规模，交易方式，交易起止时间，交易出清方式，价格形成机制，重要输电通道的限额，交易约束信息，交易操作说明，其他准备信息（公开信息）。</w:t>
      </w:r>
    </w:p>
    <w:p>
      <w:pPr>
        <w:pageBreakBefore w:val="0"/>
        <w:kinsoku/>
        <w:wordWrap/>
        <w:overflowPunct/>
        <w:topLinePunct w:val="0"/>
        <w:autoSpaceDE/>
        <w:autoSpaceDN/>
        <w:bidi w:val="0"/>
        <w:adjustRightInd/>
        <w:snapToGrid/>
        <w:spacing w:line="560" w:lineRule="exact"/>
        <w:ind w:firstLine="640"/>
        <w:textAlignment w:val="auto"/>
      </w:pPr>
      <w:r>
        <w:rPr>
          <w:rFonts w:hint="eastAsia"/>
        </w:rPr>
        <w:t>3、年</w:t>
      </w:r>
      <w:r>
        <w:t>度</w:t>
      </w:r>
      <w:r>
        <w:rPr>
          <w:rFonts w:hint="eastAsia"/>
        </w:rPr>
        <w:t>交易过程信息，</w:t>
      </w:r>
      <w:r>
        <w:t>包括</w:t>
      </w:r>
      <w:r>
        <w:rPr>
          <w:rFonts w:hint="eastAsia"/>
        </w:rPr>
        <w:t>购售双方申报价格档位，实时成交量，实时成交比，未成交量，实时成交平均电价，实时成交最高价，实时成交最低价（公开信息）。</w:t>
      </w:r>
    </w:p>
    <w:p>
      <w:pPr>
        <w:pageBreakBefore w:val="0"/>
        <w:kinsoku/>
        <w:wordWrap/>
        <w:overflowPunct/>
        <w:topLinePunct w:val="0"/>
        <w:autoSpaceDE/>
        <w:autoSpaceDN/>
        <w:bidi w:val="0"/>
        <w:adjustRightInd/>
        <w:snapToGrid/>
        <w:spacing w:line="560" w:lineRule="exact"/>
        <w:ind w:firstLine="640"/>
        <w:textAlignment w:val="auto"/>
      </w:pPr>
      <w:r>
        <w:rPr>
          <w:rFonts w:hint="eastAsia"/>
        </w:rPr>
        <w:t>4、年</w:t>
      </w:r>
      <w:r>
        <w:t>度</w:t>
      </w:r>
      <w:r>
        <w:rPr>
          <w:rFonts w:hint="eastAsia"/>
        </w:rPr>
        <w:t>交易结果信息，</w:t>
      </w:r>
      <w:r>
        <w:t>包括</w:t>
      </w:r>
      <w:r>
        <w:rPr>
          <w:rFonts w:hint="eastAsia"/>
        </w:rPr>
        <w:t>参与市场主体数量，成交主体数量，成交总量、最高价、最低价、平均价，安全校核结果及说明，双边交易合同备案状态（公开信息）；各市场成员最终成交明细（私有信息，向市场成员提供其自身信息）。</w:t>
      </w:r>
    </w:p>
    <w:p>
      <w:pPr>
        <w:pageBreakBefore w:val="0"/>
        <w:kinsoku/>
        <w:wordWrap/>
        <w:overflowPunct/>
        <w:topLinePunct w:val="0"/>
        <w:autoSpaceDE/>
        <w:autoSpaceDN/>
        <w:bidi w:val="0"/>
        <w:adjustRightInd/>
        <w:snapToGrid/>
        <w:spacing w:line="560" w:lineRule="exact"/>
        <w:ind w:firstLine="640"/>
        <w:textAlignment w:val="auto"/>
      </w:pPr>
      <w:r>
        <w:rPr>
          <w:rFonts w:hint="eastAsia"/>
        </w:rPr>
        <w:t>（二）月度（月内）交易信息</w:t>
      </w:r>
    </w:p>
    <w:p>
      <w:pPr>
        <w:pageBreakBefore w:val="0"/>
        <w:kinsoku/>
        <w:wordWrap/>
        <w:overflowPunct/>
        <w:topLinePunct w:val="0"/>
        <w:autoSpaceDE/>
        <w:autoSpaceDN/>
        <w:bidi w:val="0"/>
        <w:adjustRightInd/>
        <w:snapToGrid/>
        <w:spacing w:line="560" w:lineRule="exact"/>
        <w:ind w:firstLine="640"/>
        <w:textAlignment w:val="auto"/>
      </w:pPr>
      <w:r>
        <w:rPr>
          <w:rFonts w:hint="eastAsia"/>
        </w:rPr>
        <w:t>1、</w:t>
      </w:r>
      <w:r>
        <w:t>预测</w:t>
      </w:r>
      <w:r>
        <w:rPr>
          <w:rFonts w:hint="eastAsia"/>
        </w:rPr>
        <w:t>信息，</w:t>
      </w:r>
      <w:r>
        <w:t>包括</w:t>
      </w:r>
      <w:r>
        <w:rPr>
          <w:rFonts w:hint="eastAsia"/>
        </w:rPr>
        <w:t>留川电量计划，外购、外送电计划，本月市场交易计划</w:t>
      </w:r>
      <w:r>
        <w:t>与预测、</w:t>
      </w:r>
      <w:r>
        <w:rPr>
          <w:rFonts w:hint="eastAsia"/>
        </w:rPr>
        <w:t>时间预安排（公开信息）。</w:t>
      </w:r>
    </w:p>
    <w:p>
      <w:pPr>
        <w:pageBreakBefore w:val="0"/>
        <w:kinsoku/>
        <w:wordWrap/>
        <w:overflowPunct/>
        <w:topLinePunct w:val="0"/>
        <w:autoSpaceDE/>
        <w:autoSpaceDN/>
        <w:bidi w:val="0"/>
        <w:adjustRightInd/>
        <w:snapToGrid/>
        <w:spacing w:line="560" w:lineRule="exact"/>
        <w:ind w:firstLine="640"/>
        <w:textAlignment w:val="auto"/>
      </w:pPr>
      <w:r>
        <w:rPr>
          <w:rFonts w:hint="eastAsia"/>
        </w:rPr>
        <w:t>2、交易公告信息：包括交易品种，交易主体，交易规模，交易方式，交易起止时间，交易出清方式，价格形成机制，重要输电通道的限额，交易约束信息，交易操作说明，其他准备信息（公开信息）。</w:t>
      </w:r>
    </w:p>
    <w:p>
      <w:pPr>
        <w:pageBreakBefore w:val="0"/>
        <w:kinsoku/>
        <w:wordWrap/>
        <w:overflowPunct/>
        <w:topLinePunct w:val="0"/>
        <w:autoSpaceDE/>
        <w:autoSpaceDN/>
        <w:bidi w:val="0"/>
        <w:adjustRightInd/>
        <w:snapToGrid/>
        <w:spacing w:line="560" w:lineRule="exact"/>
        <w:ind w:firstLine="640"/>
        <w:textAlignment w:val="auto"/>
      </w:pPr>
      <w:r>
        <w:rPr>
          <w:rFonts w:hint="eastAsia"/>
        </w:rPr>
        <w:t>3、交易过程信息：购售双方申报价格档位，实时成交量，实时成交比，未成交量、实时成交平均电价，实时成交最高价，实时成交最低价（公开信息）。</w:t>
      </w:r>
    </w:p>
    <w:p>
      <w:pPr>
        <w:pageBreakBefore w:val="0"/>
        <w:kinsoku/>
        <w:wordWrap/>
        <w:overflowPunct/>
        <w:topLinePunct w:val="0"/>
        <w:autoSpaceDE/>
        <w:autoSpaceDN/>
        <w:bidi w:val="0"/>
        <w:adjustRightInd/>
        <w:snapToGrid/>
        <w:spacing w:line="560" w:lineRule="exact"/>
        <w:ind w:firstLine="640"/>
        <w:textAlignment w:val="auto"/>
      </w:pPr>
      <w:r>
        <w:rPr>
          <w:rFonts w:hint="eastAsia"/>
        </w:rPr>
        <w:t>4、交易结果信息：参与市场主体数量，成交主体数量，预成交总量，预成交最高价，预成交最低价，预成交平均价，最终成交均价，最终成交最高价，最终成交最低价，最终成交平均价，双边交易合同备案状态，安全校核结果及说明（公开信息）;市场成员预成交及最终成交明细（私有信息，向市场成员提供其自身信息）。</w:t>
      </w:r>
    </w:p>
    <w:p>
      <w:pPr>
        <w:pageBreakBefore w:val="0"/>
        <w:kinsoku/>
        <w:wordWrap/>
        <w:overflowPunct/>
        <w:topLinePunct w:val="0"/>
        <w:autoSpaceDE/>
        <w:autoSpaceDN/>
        <w:bidi w:val="0"/>
        <w:adjustRightInd/>
        <w:snapToGrid/>
        <w:spacing w:line="560" w:lineRule="exact"/>
        <w:ind w:firstLine="640"/>
        <w:textAlignment w:val="auto"/>
      </w:pPr>
      <w:r>
        <w:rPr>
          <w:rFonts w:hint="eastAsia"/>
        </w:rPr>
        <w:t>5、交易结算信息：交易结算电量，交易结算均价，发电侧偏差考核电量及费用，用电侧偏差考核电量及费用，分摊的结算差额或盈余资金总体情况（公开信息）；市场主体月结算单，包括交易品种，合</w:t>
      </w:r>
      <w:r>
        <w:t>同电</w:t>
      </w:r>
      <w:r>
        <w:rPr>
          <w:rFonts w:hint="eastAsia"/>
        </w:rPr>
        <w:t>量</w:t>
      </w:r>
      <w:r>
        <w:t>、电</w:t>
      </w:r>
      <w:r>
        <w:rPr>
          <w:rFonts w:hint="eastAsia"/>
        </w:rPr>
        <w:t>价</w:t>
      </w:r>
      <w:r>
        <w:t>，</w:t>
      </w:r>
      <w:r>
        <w:rPr>
          <w:rFonts w:hint="eastAsia"/>
        </w:rPr>
        <w:t>结算电量、电价、电</w:t>
      </w:r>
      <w:r>
        <w:t>费，</w:t>
      </w:r>
      <w:r>
        <w:rPr>
          <w:rFonts w:hint="eastAsia"/>
        </w:rPr>
        <w:t>偏差考核电量、电价、电费等。（私有信息，向电网企业提供，向市场成员提供其自身信息）</w:t>
      </w:r>
      <w:r>
        <w:t>。</w:t>
      </w:r>
    </w:p>
    <w:p>
      <w:pPr>
        <w:pageBreakBefore w:val="0"/>
        <w:kinsoku/>
        <w:wordWrap/>
        <w:overflowPunct/>
        <w:topLinePunct w:val="0"/>
        <w:autoSpaceDE/>
        <w:autoSpaceDN/>
        <w:bidi w:val="0"/>
        <w:adjustRightInd/>
        <w:snapToGrid/>
        <w:spacing w:line="560" w:lineRule="exact"/>
        <w:ind w:firstLine="640"/>
        <w:textAlignment w:val="auto"/>
      </w:pPr>
      <w:r>
        <w:rPr>
          <w:rFonts w:hint="eastAsia"/>
        </w:rPr>
        <w:t>6、交易执行信息：外送、外购电情况，总交易规模及均价，分品种交易规模及均价，市场化机组剩余容量相关情况、月</w:t>
      </w:r>
      <w:r>
        <w:t>度（含</w:t>
      </w:r>
      <w:r>
        <w:rPr>
          <w:rFonts w:hint="eastAsia"/>
        </w:rPr>
        <w:t>多</w:t>
      </w:r>
      <w:r>
        <w:t>日交易调整后）</w:t>
      </w:r>
      <w:r>
        <w:rPr>
          <w:rFonts w:hint="eastAsia"/>
        </w:rPr>
        <w:t>发电</w:t>
      </w:r>
      <w:r>
        <w:t>计划完成进度情况</w:t>
      </w:r>
      <w:r>
        <w:rPr>
          <w:rFonts w:hint="eastAsia"/>
        </w:rPr>
        <w:t>（公开信息）。</w:t>
      </w:r>
    </w:p>
    <w:p>
      <w:pPr>
        <w:pageBreakBefore w:val="0"/>
        <w:kinsoku/>
        <w:wordWrap/>
        <w:overflowPunct/>
        <w:topLinePunct w:val="0"/>
        <w:autoSpaceDE/>
        <w:autoSpaceDN/>
        <w:bidi w:val="0"/>
        <w:adjustRightInd/>
        <w:snapToGrid/>
        <w:spacing w:line="560" w:lineRule="exact"/>
        <w:ind w:firstLine="640"/>
        <w:textAlignment w:val="auto"/>
      </w:pPr>
      <w:r>
        <w:rPr>
          <w:rFonts w:hint="eastAsia"/>
        </w:rPr>
        <w:t>（三）现货交易衔接信息</w:t>
      </w:r>
    </w:p>
    <w:p>
      <w:pPr>
        <w:pageBreakBefore w:val="0"/>
        <w:kinsoku/>
        <w:wordWrap/>
        <w:overflowPunct/>
        <w:topLinePunct w:val="0"/>
        <w:autoSpaceDE/>
        <w:autoSpaceDN/>
        <w:bidi w:val="0"/>
        <w:adjustRightInd/>
        <w:snapToGrid/>
        <w:spacing w:line="560" w:lineRule="exact"/>
        <w:ind w:firstLine="640"/>
        <w:textAlignment w:val="auto"/>
      </w:pPr>
      <w:r>
        <w:rPr>
          <w:rFonts w:hint="eastAsia"/>
        </w:rPr>
        <w:t>1、</w:t>
      </w:r>
      <w:r>
        <w:t>省内运行日中长期交易总曲线、省间</w:t>
      </w:r>
      <w:r>
        <w:rPr>
          <w:rFonts w:hint="eastAsia"/>
        </w:rPr>
        <w:t>运行日</w:t>
      </w:r>
      <w:r>
        <w:t>中长期交易总曲线（公开信息）。</w:t>
      </w:r>
    </w:p>
    <w:p>
      <w:pPr>
        <w:pageBreakBefore w:val="0"/>
        <w:kinsoku/>
        <w:wordWrap/>
        <w:overflowPunct/>
        <w:topLinePunct w:val="0"/>
        <w:autoSpaceDE/>
        <w:autoSpaceDN/>
        <w:bidi w:val="0"/>
        <w:adjustRightInd/>
        <w:snapToGrid/>
        <w:spacing w:line="560" w:lineRule="exact"/>
        <w:ind w:firstLine="640"/>
        <w:textAlignment w:val="auto"/>
      </w:pPr>
      <w:r>
        <w:rPr>
          <w:rFonts w:hint="eastAsia"/>
        </w:rPr>
        <w:t>2、</w:t>
      </w:r>
      <w:r>
        <w:t>各市场主体省内、省间运行日中长期交易电量分解曲线。（私有信息</w:t>
      </w:r>
      <w:r>
        <w:rPr>
          <w:rFonts w:hint="eastAsia"/>
        </w:rPr>
        <w:t>，向调度</w:t>
      </w:r>
      <w:r>
        <w:t>机构提供）</w:t>
      </w:r>
    </w:p>
    <w:p>
      <w:pPr>
        <w:pageBreakBefore w:val="0"/>
        <w:kinsoku/>
        <w:wordWrap/>
        <w:overflowPunct/>
        <w:topLinePunct w:val="0"/>
        <w:autoSpaceDE/>
        <w:autoSpaceDN/>
        <w:bidi w:val="0"/>
        <w:adjustRightInd/>
        <w:snapToGrid/>
        <w:spacing w:line="560" w:lineRule="exact"/>
        <w:ind w:firstLine="640"/>
        <w:textAlignment w:val="auto"/>
      </w:pPr>
      <w:r>
        <w:rPr>
          <w:rFonts w:hint="eastAsia"/>
        </w:rPr>
        <w:t>3、</w:t>
      </w:r>
      <w:r>
        <w:t>参与现货市场机组分电源类型中长期合约占比、合约平均价格、总上网电量等</w:t>
      </w:r>
      <w:r>
        <w:rPr>
          <w:rFonts w:hint="eastAsia"/>
        </w:rPr>
        <w:t>（公开信息）</w:t>
      </w:r>
      <w:r>
        <w:t>。</w:t>
      </w:r>
    </w:p>
    <w:p>
      <w:pPr>
        <w:pageBreakBefore w:val="0"/>
        <w:kinsoku/>
        <w:wordWrap/>
        <w:overflowPunct/>
        <w:topLinePunct w:val="0"/>
        <w:autoSpaceDE/>
        <w:autoSpaceDN/>
        <w:bidi w:val="0"/>
        <w:adjustRightInd/>
        <w:snapToGrid/>
        <w:spacing w:line="560" w:lineRule="exact"/>
        <w:ind w:firstLine="640"/>
        <w:textAlignment w:val="auto"/>
      </w:pPr>
      <w:r>
        <w:rPr>
          <w:rFonts w:hint="eastAsia"/>
        </w:rPr>
        <w:t>4、现货市场</w:t>
      </w:r>
      <w:r>
        <w:t>每个交易时段的分类结算情况，不平衡资金明细及每项不平衡资金的分摊方式等</w:t>
      </w:r>
      <w:r>
        <w:rPr>
          <w:rFonts w:hint="eastAsia"/>
        </w:rPr>
        <w:t>（公开信息）；各市场主体日清算单。（私有信息，向市场成员提供其自身信息）</w:t>
      </w:r>
      <w:r>
        <w:t>。</w:t>
      </w:r>
    </w:p>
    <w:p>
      <w:pPr>
        <w:pStyle w:val="2"/>
        <w:pageBreakBefore w:val="0"/>
        <w:kinsoku/>
        <w:wordWrap/>
        <w:overflowPunct/>
        <w:topLinePunct w:val="0"/>
        <w:autoSpaceDE/>
        <w:autoSpaceDN/>
        <w:bidi w:val="0"/>
        <w:adjustRightInd/>
        <w:snapToGrid/>
        <w:spacing w:line="560" w:lineRule="exact"/>
        <w:textAlignment w:val="auto"/>
      </w:pPr>
      <w:r>
        <w:rPr>
          <w:rFonts w:hint="eastAsia"/>
        </w:rPr>
        <w:t>其他信息披露</w:t>
      </w:r>
    </w:p>
    <w:p>
      <w:pPr>
        <w:pStyle w:val="3"/>
        <w:pageBreakBefore w:val="0"/>
        <w:kinsoku/>
        <w:wordWrap/>
        <w:overflowPunct/>
        <w:topLinePunct w:val="0"/>
        <w:autoSpaceDE/>
        <w:autoSpaceDN/>
        <w:bidi w:val="0"/>
        <w:adjustRightInd/>
        <w:snapToGrid/>
        <w:spacing w:line="560" w:lineRule="exact"/>
        <w:textAlignment w:val="auto"/>
      </w:pPr>
      <w:r>
        <w:rPr>
          <w:rFonts w:hint="eastAsia"/>
        </w:rPr>
        <w:t>电力用户授权信息披露</w:t>
      </w:r>
    </w:p>
    <w:p>
      <w:pPr>
        <w:pStyle w:val="45"/>
        <w:pageBreakBefore w:val="0"/>
        <w:kinsoku/>
        <w:wordWrap/>
        <w:overflowPunct/>
        <w:topLinePunct w:val="0"/>
        <w:autoSpaceDE/>
        <w:autoSpaceDN/>
        <w:bidi w:val="0"/>
        <w:adjustRightInd/>
        <w:snapToGrid/>
        <w:spacing w:line="560" w:lineRule="exact"/>
        <w:ind w:firstLine="640"/>
        <w:textAlignment w:val="auto"/>
        <w:rPr>
          <w:color w:val="auto"/>
        </w:rPr>
      </w:pPr>
      <w:bookmarkStart w:id="3" w:name="_Hlk88060291"/>
      <w:r>
        <w:rPr>
          <w:color w:val="auto"/>
        </w:rPr>
        <w:t>售电公司和发电企业</w:t>
      </w:r>
      <w:bookmarkEnd w:id="3"/>
      <w:r>
        <w:rPr>
          <w:rFonts w:hint="eastAsia"/>
          <w:color w:val="auto"/>
        </w:rPr>
        <w:t>可以通过电力用户授权</w:t>
      </w:r>
      <w:r>
        <w:rPr>
          <w:color w:val="auto"/>
        </w:rPr>
        <w:t>获取用户历史分时用电数据、</w:t>
      </w:r>
      <w:r>
        <w:rPr>
          <w:rFonts w:hint="eastAsia"/>
          <w:color w:val="auto"/>
        </w:rPr>
        <w:t>用电</w:t>
      </w:r>
      <w:r>
        <w:rPr>
          <w:color w:val="auto"/>
        </w:rPr>
        <w:t>信息等有关信息，并约定信息开放内容、频率、时效性，以满足市场主体参与</w:t>
      </w:r>
      <w:r>
        <w:rPr>
          <w:rFonts w:hint="eastAsia"/>
          <w:color w:val="auto"/>
        </w:rPr>
        <w:t>市场</w:t>
      </w:r>
      <w:r>
        <w:rPr>
          <w:color w:val="auto"/>
        </w:rPr>
        <w:t>交易的要求</w:t>
      </w:r>
      <w:r>
        <w:rPr>
          <w:rFonts w:hint="eastAsia"/>
          <w:color w:val="auto"/>
        </w:rPr>
        <w:t>。</w:t>
      </w:r>
    </w:p>
    <w:p>
      <w:pPr>
        <w:pStyle w:val="45"/>
        <w:pageBreakBefore w:val="0"/>
        <w:kinsoku/>
        <w:wordWrap/>
        <w:overflowPunct/>
        <w:topLinePunct w:val="0"/>
        <w:autoSpaceDE/>
        <w:autoSpaceDN/>
        <w:bidi w:val="0"/>
        <w:adjustRightInd/>
        <w:snapToGrid/>
        <w:spacing w:line="560" w:lineRule="exact"/>
        <w:ind w:firstLine="640"/>
        <w:textAlignment w:val="auto"/>
        <w:rPr>
          <w:color w:val="auto"/>
        </w:rPr>
      </w:pPr>
      <w:r>
        <w:rPr>
          <w:rFonts w:hint="eastAsia"/>
          <w:color w:val="auto"/>
        </w:rPr>
        <w:t>申请电力用户授权信息的售电公司和发电企业应签订信息保密承诺书，保证电力用户的信息安全。</w:t>
      </w:r>
    </w:p>
    <w:p>
      <w:pPr>
        <w:pStyle w:val="45"/>
        <w:pageBreakBefore w:val="0"/>
        <w:kinsoku/>
        <w:wordWrap/>
        <w:overflowPunct/>
        <w:topLinePunct w:val="0"/>
        <w:autoSpaceDE/>
        <w:autoSpaceDN/>
        <w:bidi w:val="0"/>
        <w:adjustRightInd/>
        <w:snapToGrid/>
        <w:spacing w:line="560" w:lineRule="exact"/>
        <w:ind w:firstLine="640"/>
        <w:textAlignment w:val="auto"/>
        <w:rPr>
          <w:color w:val="auto"/>
        </w:rPr>
      </w:pPr>
      <w:r>
        <w:rPr>
          <w:rFonts w:hint="eastAsia"/>
          <w:color w:val="auto"/>
        </w:rPr>
        <w:t>电</w:t>
      </w:r>
      <w:r>
        <w:rPr>
          <w:color w:val="auto"/>
        </w:rPr>
        <w:t>网公司配合</w:t>
      </w:r>
      <w:r>
        <w:rPr>
          <w:rFonts w:hint="eastAsia"/>
          <w:color w:val="auto"/>
        </w:rPr>
        <w:t>电力</w:t>
      </w:r>
      <w:r>
        <w:rPr>
          <w:color w:val="auto"/>
        </w:rPr>
        <w:t>交易机构</w:t>
      </w:r>
      <w:r>
        <w:rPr>
          <w:rFonts w:hint="eastAsia"/>
          <w:color w:val="auto"/>
        </w:rPr>
        <w:t>完</w:t>
      </w:r>
      <w:r>
        <w:rPr>
          <w:color w:val="auto"/>
        </w:rPr>
        <w:t>成数据组织，并</w:t>
      </w:r>
      <w:r>
        <w:rPr>
          <w:rFonts w:hint="eastAsia"/>
          <w:color w:val="auto"/>
        </w:rPr>
        <w:t>向</w:t>
      </w:r>
      <w:r>
        <w:rPr>
          <w:color w:val="auto"/>
        </w:rPr>
        <w:t>申请人披露。</w:t>
      </w:r>
    </w:p>
    <w:p>
      <w:pPr>
        <w:pStyle w:val="3"/>
        <w:pageBreakBefore w:val="0"/>
        <w:kinsoku/>
        <w:wordWrap/>
        <w:overflowPunct/>
        <w:topLinePunct w:val="0"/>
        <w:autoSpaceDE/>
        <w:autoSpaceDN/>
        <w:bidi w:val="0"/>
        <w:adjustRightInd/>
        <w:snapToGrid/>
        <w:spacing w:line="560" w:lineRule="exact"/>
        <w:textAlignment w:val="auto"/>
      </w:pPr>
      <w:r>
        <w:rPr>
          <w:rFonts w:hint="eastAsia"/>
        </w:rPr>
        <w:t>扩增信息披露</w:t>
      </w:r>
    </w:p>
    <w:p>
      <w:pPr>
        <w:pStyle w:val="45"/>
        <w:pageBreakBefore w:val="0"/>
        <w:kinsoku/>
        <w:wordWrap/>
        <w:overflowPunct/>
        <w:topLinePunct w:val="0"/>
        <w:autoSpaceDE/>
        <w:autoSpaceDN/>
        <w:bidi w:val="0"/>
        <w:adjustRightInd/>
        <w:snapToGrid/>
        <w:spacing w:line="560" w:lineRule="exact"/>
        <w:ind w:firstLine="640"/>
        <w:textAlignment w:val="auto"/>
        <w:rPr>
          <w:color w:val="auto"/>
        </w:rPr>
      </w:pPr>
      <w:r>
        <w:rPr>
          <w:color w:val="auto"/>
        </w:rPr>
        <w:t>市场成员可</w:t>
      </w:r>
      <w:r>
        <w:rPr>
          <w:rFonts w:hint="eastAsia"/>
          <w:color w:val="auto"/>
        </w:rPr>
        <w:t>以</w:t>
      </w:r>
      <w:r>
        <w:rPr>
          <w:color w:val="auto"/>
        </w:rPr>
        <w:t>申请扩增信息</w:t>
      </w:r>
      <w:r>
        <w:rPr>
          <w:rFonts w:hint="eastAsia"/>
          <w:color w:val="auto"/>
        </w:rPr>
        <w:t>披露。申请人通过信息披露平台向电力交易机构发送扩增信息申请</w:t>
      </w:r>
      <w:r>
        <w:rPr>
          <w:color w:val="auto"/>
        </w:rPr>
        <w:t>，</w:t>
      </w:r>
      <w:r>
        <w:rPr>
          <w:rFonts w:hint="eastAsia"/>
          <w:color w:val="auto"/>
        </w:rPr>
        <w:t>申请内容包括申请扩增信息的必要性，扩增信息频度、披露主体、披露范围、申请人的联络信息等。</w:t>
      </w:r>
    </w:p>
    <w:p>
      <w:pPr>
        <w:pStyle w:val="45"/>
        <w:pageBreakBefore w:val="0"/>
        <w:kinsoku/>
        <w:wordWrap/>
        <w:overflowPunct/>
        <w:topLinePunct w:val="0"/>
        <w:autoSpaceDE/>
        <w:autoSpaceDN/>
        <w:bidi w:val="0"/>
        <w:adjustRightInd/>
        <w:snapToGrid/>
        <w:spacing w:line="560" w:lineRule="exact"/>
        <w:ind w:firstLine="640"/>
        <w:textAlignment w:val="auto"/>
        <w:rPr>
          <w:color w:val="auto"/>
        </w:rPr>
      </w:pPr>
      <w:r>
        <w:rPr>
          <w:color w:val="auto"/>
        </w:rPr>
        <w:t>电力交易机构</w:t>
      </w:r>
      <w:r>
        <w:rPr>
          <w:rFonts w:hint="eastAsia"/>
          <w:color w:val="auto"/>
        </w:rPr>
        <w:t>收到申请后，及时</w:t>
      </w:r>
      <w:r>
        <w:rPr>
          <w:color w:val="auto"/>
        </w:rPr>
        <w:t>通知</w:t>
      </w:r>
      <w:r>
        <w:rPr>
          <w:rFonts w:hint="eastAsia"/>
          <w:color w:val="auto"/>
        </w:rPr>
        <w:t>扩增信息涉及的</w:t>
      </w:r>
      <w:r>
        <w:rPr>
          <w:color w:val="auto"/>
        </w:rPr>
        <w:t>市场主体，并</w:t>
      </w:r>
      <w:r>
        <w:rPr>
          <w:rFonts w:hint="eastAsia"/>
          <w:color w:val="auto"/>
        </w:rPr>
        <w:t>按月汇总扩增信息披露申请</w:t>
      </w:r>
      <w:r>
        <w:rPr>
          <w:color w:val="auto"/>
        </w:rPr>
        <w:t>报</w:t>
      </w:r>
      <w:r>
        <w:rPr>
          <w:rFonts w:hint="eastAsia"/>
          <w:color w:val="auto"/>
        </w:rPr>
        <w:t>第一责任单位</w:t>
      </w:r>
      <w:r>
        <w:rPr>
          <w:color w:val="auto"/>
        </w:rPr>
        <w:t>审核。扩增信息披露申请及审核结果应当通过信息披露平台专栏公示。</w:t>
      </w:r>
    </w:p>
    <w:p>
      <w:pPr>
        <w:pStyle w:val="2"/>
        <w:pageBreakBefore w:val="0"/>
        <w:kinsoku/>
        <w:wordWrap/>
        <w:overflowPunct/>
        <w:topLinePunct w:val="0"/>
        <w:autoSpaceDE/>
        <w:autoSpaceDN/>
        <w:bidi w:val="0"/>
        <w:adjustRightInd/>
        <w:snapToGrid/>
        <w:spacing w:line="560" w:lineRule="exact"/>
        <w:textAlignment w:val="auto"/>
      </w:pPr>
      <w:r>
        <w:rPr>
          <w:rFonts w:hint="eastAsia"/>
        </w:rPr>
        <w:t>披露</w:t>
      </w:r>
      <w:r>
        <w:t>方式</w:t>
      </w:r>
    </w:p>
    <w:p>
      <w:pPr>
        <w:pStyle w:val="45"/>
        <w:pageBreakBefore w:val="0"/>
        <w:kinsoku/>
        <w:wordWrap/>
        <w:overflowPunct/>
        <w:topLinePunct w:val="0"/>
        <w:autoSpaceDE/>
        <w:autoSpaceDN/>
        <w:bidi w:val="0"/>
        <w:adjustRightInd/>
        <w:snapToGrid/>
        <w:spacing w:line="560" w:lineRule="exact"/>
        <w:ind w:firstLine="640"/>
        <w:textAlignment w:val="auto"/>
        <w:rPr>
          <w:color w:val="auto"/>
        </w:rPr>
      </w:pPr>
      <w:r>
        <w:rPr>
          <w:rFonts w:hint="eastAsia"/>
          <w:color w:val="auto"/>
        </w:rPr>
        <w:t>各市场成员通过电力交易平台进行信息填报、信息审核、信息发布。</w:t>
      </w:r>
    </w:p>
    <w:p>
      <w:pPr>
        <w:pStyle w:val="45"/>
        <w:pageBreakBefore w:val="0"/>
        <w:kinsoku/>
        <w:wordWrap/>
        <w:overflowPunct/>
        <w:topLinePunct w:val="0"/>
        <w:autoSpaceDE/>
        <w:autoSpaceDN/>
        <w:bidi w:val="0"/>
        <w:adjustRightInd/>
        <w:snapToGrid/>
        <w:spacing w:line="560" w:lineRule="exact"/>
        <w:ind w:firstLine="640"/>
        <w:textAlignment w:val="auto"/>
        <w:rPr>
          <w:color w:val="auto"/>
        </w:rPr>
      </w:pPr>
      <w:r>
        <w:rPr>
          <w:rFonts w:hint="eastAsia"/>
          <w:color w:val="auto"/>
        </w:rPr>
        <w:t>电力交易机构为市场成员获取市场信息提供丰富、快捷、灵活的渠道，在电力交易平台统一发布信息的基础上，也可通过电力交易机构网站、微信公众号、信息发布会、即时通讯软件等其他方式发布相关信息。</w:t>
      </w:r>
    </w:p>
    <w:p>
      <w:pPr>
        <w:pStyle w:val="45"/>
        <w:pageBreakBefore w:val="0"/>
        <w:kinsoku/>
        <w:wordWrap/>
        <w:overflowPunct/>
        <w:topLinePunct w:val="0"/>
        <w:autoSpaceDE/>
        <w:autoSpaceDN/>
        <w:bidi w:val="0"/>
        <w:adjustRightInd/>
        <w:snapToGrid/>
        <w:spacing w:line="560" w:lineRule="exact"/>
        <w:ind w:firstLine="640"/>
        <w:textAlignment w:val="auto"/>
        <w:rPr>
          <w:color w:val="auto"/>
        </w:rPr>
      </w:pPr>
      <w:r>
        <w:rPr>
          <w:rFonts w:hint="eastAsia"/>
          <w:color w:val="auto"/>
        </w:rPr>
        <w:t>各</w:t>
      </w:r>
      <w:r>
        <w:rPr>
          <w:color w:val="auto"/>
        </w:rPr>
        <w:t>市场成员应按规定时间及时、完整、准确披露信息</w:t>
      </w:r>
      <w:r>
        <w:rPr>
          <w:rFonts w:hint="eastAsia"/>
          <w:color w:val="auto"/>
        </w:rPr>
        <w:t>。信息</w:t>
      </w:r>
      <w:r>
        <w:rPr>
          <w:color w:val="auto"/>
        </w:rPr>
        <w:t>披露</w:t>
      </w:r>
      <w:r>
        <w:rPr>
          <w:rFonts w:hint="eastAsia"/>
          <w:color w:val="auto"/>
        </w:rPr>
        <w:t>内容</w:t>
      </w:r>
      <w:r>
        <w:rPr>
          <w:color w:val="auto"/>
        </w:rPr>
        <w:t>、时间</w:t>
      </w:r>
      <w:r>
        <w:rPr>
          <w:rFonts w:hint="eastAsia"/>
          <w:color w:val="auto"/>
        </w:rPr>
        <w:t>和披露方式因</w:t>
      </w:r>
      <w:r>
        <w:rPr>
          <w:color w:val="auto"/>
        </w:rPr>
        <w:t>市场需要</w:t>
      </w:r>
      <w:r>
        <w:rPr>
          <w:rFonts w:hint="eastAsia"/>
          <w:color w:val="auto"/>
        </w:rPr>
        <w:t>变</w:t>
      </w:r>
      <w:r>
        <w:rPr>
          <w:color w:val="auto"/>
        </w:rPr>
        <w:t>化</w:t>
      </w:r>
      <w:r>
        <w:rPr>
          <w:rFonts w:hint="eastAsia"/>
          <w:color w:val="auto"/>
        </w:rPr>
        <w:t>、或其他原因无</w:t>
      </w:r>
      <w:r>
        <w:rPr>
          <w:color w:val="auto"/>
        </w:rPr>
        <w:t>法满足的，</w:t>
      </w:r>
      <w:r>
        <w:rPr>
          <w:rFonts w:hint="eastAsia"/>
          <w:color w:val="auto"/>
        </w:rPr>
        <w:t>应</w:t>
      </w:r>
      <w:r>
        <w:rPr>
          <w:color w:val="auto"/>
        </w:rPr>
        <w:t>由电力交易</w:t>
      </w:r>
      <w:r>
        <w:rPr>
          <w:rFonts w:hint="eastAsia"/>
          <w:color w:val="auto"/>
        </w:rPr>
        <w:t>机构报</w:t>
      </w:r>
      <w:r>
        <w:rPr>
          <w:color w:val="auto"/>
        </w:rPr>
        <w:t>四川能源</w:t>
      </w:r>
      <w:r>
        <w:rPr>
          <w:rFonts w:hint="eastAsia"/>
          <w:color w:val="auto"/>
        </w:rPr>
        <w:t>监管</w:t>
      </w:r>
      <w:r>
        <w:rPr>
          <w:color w:val="auto"/>
        </w:rPr>
        <w:t>办</w:t>
      </w:r>
      <w:r>
        <w:rPr>
          <w:rFonts w:hint="eastAsia"/>
          <w:color w:val="auto"/>
        </w:rPr>
        <w:t>同意</w:t>
      </w:r>
      <w:r>
        <w:rPr>
          <w:color w:val="auto"/>
        </w:rPr>
        <w:t>并备案</w:t>
      </w:r>
      <w:r>
        <w:rPr>
          <w:rFonts w:hint="eastAsia"/>
          <w:color w:val="auto"/>
        </w:rPr>
        <w:t>后执行</w:t>
      </w:r>
      <w:r>
        <w:rPr>
          <w:color w:val="auto"/>
        </w:rPr>
        <w:t>。</w:t>
      </w:r>
    </w:p>
    <w:p>
      <w:pPr>
        <w:pStyle w:val="45"/>
        <w:pageBreakBefore w:val="0"/>
        <w:kinsoku/>
        <w:wordWrap/>
        <w:overflowPunct/>
        <w:topLinePunct w:val="0"/>
        <w:autoSpaceDE/>
        <w:autoSpaceDN/>
        <w:bidi w:val="0"/>
        <w:adjustRightInd/>
        <w:snapToGrid/>
        <w:spacing w:line="560" w:lineRule="exact"/>
        <w:ind w:firstLine="640"/>
        <w:textAlignment w:val="auto"/>
        <w:rPr>
          <w:color w:val="auto"/>
        </w:rPr>
      </w:pPr>
      <w:r>
        <w:rPr>
          <w:rFonts w:hint="eastAsia"/>
          <w:color w:val="auto"/>
        </w:rPr>
        <w:t>市场成员基本</w:t>
      </w:r>
      <w:r>
        <w:rPr>
          <w:color w:val="auto"/>
        </w:rPr>
        <w:t>信息</w:t>
      </w:r>
      <w:r>
        <w:rPr>
          <w:rFonts w:hint="eastAsia"/>
          <w:color w:val="auto"/>
        </w:rPr>
        <w:t>的</w:t>
      </w:r>
      <w:r>
        <w:rPr>
          <w:color w:val="auto"/>
        </w:rPr>
        <w:t>披露时间节点：</w:t>
      </w:r>
    </w:p>
    <w:p>
      <w:pPr>
        <w:pageBreakBefore w:val="0"/>
        <w:kinsoku/>
        <w:wordWrap/>
        <w:overflowPunct/>
        <w:topLinePunct w:val="0"/>
        <w:autoSpaceDE/>
        <w:autoSpaceDN/>
        <w:bidi w:val="0"/>
        <w:adjustRightInd/>
        <w:snapToGrid/>
        <w:spacing w:line="560" w:lineRule="exact"/>
        <w:ind w:firstLine="640"/>
        <w:textAlignment w:val="auto"/>
      </w:pPr>
      <w:r>
        <w:rPr>
          <w:rFonts w:hint="eastAsia"/>
        </w:rPr>
        <w:t>（一）在电力交易平台市场注册时填报</w:t>
      </w:r>
      <w:r>
        <w:t>的</w:t>
      </w:r>
      <w:r>
        <w:rPr>
          <w:rFonts w:hint="eastAsia"/>
        </w:rPr>
        <w:t>市场成</w:t>
      </w:r>
      <w:r>
        <w:t>员基本信息</w:t>
      </w:r>
      <w:r>
        <w:rPr>
          <w:rFonts w:hint="eastAsia"/>
        </w:rPr>
        <w:t>，电力交易平台在</w:t>
      </w:r>
      <w:r>
        <w:t>市场成员</w:t>
      </w:r>
      <w:r>
        <w:rPr>
          <w:rFonts w:hint="eastAsia"/>
        </w:rPr>
        <w:t>注册生效后自动发布。如信息发生变更时，市场成员应当自变更之日起</w:t>
      </w:r>
      <w:r>
        <w:t>5</w:t>
      </w:r>
      <w:r>
        <w:rPr>
          <w:rFonts w:hint="eastAsia"/>
        </w:rPr>
        <w:t>个工作日内完</w:t>
      </w:r>
      <w:r>
        <w:t>成</w:t>
      </w:r>
      <w:r>
        <w:rPr>
          <w:rFonts w:hint="eastAsia"/>
        </w:rPr>
        <w:t>信息更新，属于</w:t>
      </w:r>
      <w:r>
        <w:t>市场成员重大信息变更的，</w:t>
      </w:r>
      <w:r>
        <w:rPr>
          <w:rFonts w:hint="eastAsia"/>
        </w:rPr>
        <w:t>按</w:t>
      </w:r>
      <w:r>
        <w:t>市场</w:t>
      </w:r>
      <w:r>
        <w:rPr>
          <w:rFonts w:hint="eastAsia"/>
        </w:rPr>
        <w:t>成员注册信息</w:t>
      </w:r>
      <w:r>
        <w:t>变更相关要求</w:t>
      </w:r>
      <w:r>
        <w:rPr>
          <w:rFonts w:hint="eastAsia"/>
        </w:rPr>
        <w:t>进</w:t>
      </w:r>
      <w:r>
        <w:t>行</w:t>
      </w:r>
      <w:r>
        <w:rPr>
          <w:rFonts w:hint="eastAsia"/>
        </w:rPr>
        <w:t>。</w:t>
      </w:r>
    </w:p>
    <w:p>
      <w:pPr>
        <w:pageBreakBefore w:val="0"/>
        <w:kinsoku/>
        <w:wordWrap/>
        <w:overflowPunct/>
        <w:topLinePunct w:val="0"/>
        <w:autoSpaceDE/>
        <w:autoSpaceDN/>
        <w:bidi w:val="0"/>
        <w:adjustRightInd/>
        <w:snapToGrid/>
        <w:spacing w:line="560" w:lineRule="exact"/>
        <w:ind w:firstLine="640"/>
        <w:textAlignment w:val="auto"/>
      </w:pPr>
      <w:r>
        <w:rPr>
          <w:rFonts w:hint="eastAsia"/>
        </w:rPr>
        <w:t>（二）在</w:t>
      </w:r>
      <w:r>
        <w:t>注册</w:t>
      </w:r>
      <w:r>
        <w:rPr>
          <w:rFonts w:hint="eastAsia"/>
        </w:rPr>
        <w:t>信息</w:t>
      </w:r>
      <w:r>
        <w:t>以外</w:t>
      </w:r>
      <w:r>
        <w:rPr>
          <w:rFonts w:hint="eastAsia"/>
        </w:rPr>
        <w:t>需披露</w:t>
      </w:r>
      <w:r>
        <w:t>的基本信息，市场成员应</w:t>
      </w:r>
      <w:r>
        <w:rPr>
          <w:rFonts w:hint="eastAsia"/>
        </w:rPr>
        <w:t>在</w:t>
      </w:r>
      <w:r>
        <w:t>注册</w:t>
      </w:r>
      <w:r>
        <w:rPr>
          <w:rFonts w:hint="eastAsia"/>
        </w:rPr>
        <w:t>生效</w:t>
      </w:r>
      <w:r>
        <w:t>后的</w:t>
      </w:r>
      <w:r>
        <w:rPr>
          <w:rFonts w:hint="eastAsia"/>
        </w:rPr>
        <w:t>5个</w:t>
      </w:r>
      <w:r>
        <w:t>工作日内</w:t>
      </w:r>
      <w:r>
        <w:rPr>
          <w:rFonts w:hint="eastAsia"/>
        </w:rPr>
        <w:t>披露，</w:t>
      </w:r>
      <w:r>
        <w:t>如有信息</w:t>
      </w:r>
      <w:r>
        <w:rPr>
          <w:rFonts w:hint="eastAsia"/>
        </w:rPr>
        <w:t>发</w:t>
      </w:r>
      <w:r>
        <w:t>生变更，应</w:t>
      </w:r>
      <w:r>
        <w:rPr>
          <w:rFonts w:hint="eastAsia"/>
        </w:rPr>
        <w:t>自</w:t>
      </w:r>
      <w:r>
        <w:t>变更之日起</w:t>
      </w:r>
      <w:r>
        <w:rPr>
          <w:rFonts w:hint="eastAsia"/>
        </w:rPr>
        <w:t>5个工</w:t>
      </w:r>
      <w:r>
        <w:t>作日完成信息更新。</w:t>
      </w:r>
    </w:p>
    <w:p>
      <w:pPr>
        <w:pStyle w:val="45"/>
        <w:pageBreakBefore w:val="0"/>
        <w:kinsoku/>
        <w:wordWrap/>
        <w:overflowPunct/>
        <w:topLinePunct w:val="0"/>
        <w:autoSpaceDE/>
        <w:autoSpaceDN/>
        <w:bidi w:val="0"/>
        <w:adjustRightInd/>
        <w:snapToGrid/>
        <w:spacing w:line="560" w:lineRule="exact"/>
        <w:ind w:firstLine="640"/>
        <w:textAlignment w:val="auto"/>
        <w:rPr>
          <w:color w:val="auto"/>
        </w:rPr>
      </w:pPr>
      <w:r>
        <w:rPr>
          <w:rFonts w:hint="eastAsia"/>
          <w:color w:val="auto"/>
        </w:rPr>
        <w:t>市场成员运行信息的披露时间</w:t>
      </w:r>
      <w:r>
        <w:rPr>
          <w:color w:val="auto"/>
        </w:rPr>
        <w:t>节点</w:t>
      </w:r>
      <w:r>
        <w:rPr>
          <w:rFonts w:hint="eastAsia"/>
          <w:color w:val="auto"/>
        </w:rPr>
        <w:t>：</w:t>
      </w:r>
    </w:p>
    <w:p>
      <w:pPr>
        <w:pageBreakBefore w:val="0"/>
        <w:kinsoku/>
        <w:wordWrap/>
        <w:overflowPunct/>
        <w:topLinePunct w:val="0"/>
        <w:autoSpaceDE/>
        <w:autoSpaceDN/>
        <w:bidi w:val="0"/>
        <w:adjustRightInd/>
        <w:snapToGrid/>
        <w:spacing w:line="560" w:lineRule="exact"/>
        <w:ind w:firstLine="640"/>
        <w:textAlignment w:val="auto"/>
      </w:pPr>
      <w:r>
        <w:rPr>
          <w:rFonts w:hint="eastAsia"/>
        </w:rPr>
        <w:t>（一）次年年度预测信息在本年度</w:t>
      </w:r>
      <w:r>
        <w:t>11</w:t>
      </w:r>
      <w:r>
        <w:rPr>
          <w:rFonts w:hint="eastAsia"/>
        </w:rPr>
        <w:t>月底前披露；年度执行信息在次年1月底前披露。</w:t>
      </w:r>
    </w:p>
    <w:p>
      <w:pPr>
        <w:pageBreakBefore w:val="0"/>
        <w:kinsoku/>
        <w:wordWrap/>
        <w:overflowPunct/>
        <w:topLinePunct w:val="0"/>
        <w:autoSpaceDE/>
        <w:autoSpaceDN/>
        <w:bidi w:val="0"/>
        <w:adjustRightInd/>
        <w:snapToGrid/>
        <w:spacing w:line="560" w:lineRule="exact"/>
        <w:ind w:firstLine="640"/>
        <w:textAlignment w:val="auto"/>
      </w:pPr>
      <w:r>
        <w:rPr>
          <w:rFonts w:hint="eastAsia"/>
        </w:rPr>
        <w:t>（二）次月预测信息在本月2</w:t>
      </w:r>
      <w:r>
        <w:t>5</w:t>
      </w:r>
      <w:r>
        <w:rPr>
          <w:rFonts w:hint="eastAsia"/>
        </w:rPr>
        <w:t>日前披露；月度执行信息在次月前1</w:t>
      </w:r>
      <w:r>
        <w:t>0</w:t>
      </w:r>
      <w:r>
        <w:rPr>
          <w:rFonts w:hint="eastAsia"/>
        </w:rPr>
        <w:t>个工作日内披露。</w:t>
      </w:r>
    </w:p>
    <w:p>
      <w:pPr>
        <w:pageBreakBefore w:val="0"/>
        <w:kinsoku/>
        <w:wordWrap/>
        <w:overflowPunct/>
        <w:topLinePunct w:val="0"/>
        <w:autoSpaceDE/>
        <w:autoSpaceDN/>
        <w:bidi w:val="0"/>
        <w:adjustRightInd/>
        <w:snapToGrid/>
        <w:spacing w:line="560" w:lineRule="exact"/>
        <w:ind w:firstLine="640"/>
        <w:textAlignment w:val="auto"/>
      </w:pPr>
      <w:r>
        <w:rPr>
          <w:rFonts w:hint="eastAsia"/>
        </w:rPr>
        <w:t>（</w:t>
      </w:r>
      <w:r>
        <w:t>三）电厂日预测</w:t>
      </w:r>
      <w:r>
        <w:rPr>
          <w:rFonts w:hint="eastAsia"/>
        </w:rPr>
        <w:t>和日</w:t>
      </w:r>
      <w:r>
        <w:t>运行信息</w:t>
      </w:r>
      <w:r>
        <w:rPr>
          <w:rFonts w:hint="eastAsia"/>
        </w:rPr>
        <w:t>按电力</w:t>
      </w:r>
      <w:r>
        <w:t>调度机构</w:t>
      </w:r>
      <w:r>
        <w:rPr>
          <w:rFonts w:hint="eastAsia"/>
        </w:rPr>
        <w:t>规定</w:t>
      </w:r>
      <w:r>
        <w:t>的时间</w:t>
      </w:r>
      <w:r>
        <w:rPr>
          <w:rFonts w:hint="eastAsia"/>
        </w:rPr>
        <w:t>报</w:t>
      </w:r>
      <w:r>
        <w:t>送</w:t>
      </w:r>
      <w:r>
        <w:rPr>
          <w:rFonts w:hint="eastAsia"/>
        </w:rPr>
        <w:t>至电力</w:t>
      </w:r>
      <w:r>
        <w:t>调度</w:t>
      </w:r>
      <w:r>
        <w:rPr>
          <w:rFonts w:hint="eastAsia"/>
        </w:rPr>
        <w:t>机</w:t>
      </w:r>
      <w:r>
        <w:t>构，电力</w:t>
      </w:r>
      <w:r>
        <w:rPr>
          <w:rFonts w:hint="eastAsia"/>
        </w:rPr>
        <w:t>调</w:t>
      </w:r>
      <w:r>
        <w:t>度机构</w:t>
      </w:r>
      <w:r>
        <w:rPr>
          <w:rFonts w:hint="eastAsia"/>
        </w:rPr>
        <w:t>汇</w:t>
      </w:r>
      <w:r>
        <w:t>集各电厂</w:t>
      </w:r>
      <w:r>
        <w:rPr>
          <w:rFonts w:hint="eastAsia"/>
        </w:rPr>
        <w:t>信息后传至</w:t>
      </w:r>
      <w:r>
        <w:t>电力交易机构</w:t>
      </w:r>
      <w:r>
        <w:rPr>
          <w:rFonts w:hint="eastAsia"/>
        </w:rPr>
        <w:t>进</w:t>
      </w:r>
      <w:r>
        <w:t>行披露，数据</w:t>
      </w:r>
      <w:r>
        <w:rPr>
          <w:rFonts w:hint="eastAsia"/>
        </w:rPr>
        <w:t>及</w:t>
      </w:r>
      <w:r>
        <w:t>时性以电厂上传至电力调度机构</w:t>
      </w:r>
      <w:r>
        <w:rPr>
          <w:rFonts w:hint="eastAsia"/>
        </w:rPr>
        <w:t>的</w:t>
      </w:r>
      <w:r>
        <w:t>时间为准</w:t>
      </w:r>
      <w:r>
        <w:rPr>
          <w:rFonts w:hint="eastAsia"/>
        </w:rPr>
        <w:t>。</w:t>
      </w:r>
    </w:p>
    <w:p>
      <w:pPr>
        <w:pageBreakBefore w:val="0"/>
        <w:kinsoku/>
        <w:wordWrap/>
        <w:overflowPunct/>
        <w:topLinePunct w:val="0"/>
        <w:autoSpaceDE/>
        <w:autoSpaceDN/>
        <w:bidi w:val="0"/>
        <w:adjustRightInd/>
        <w:snapToGrid/>
        <w:spacing w:line="560" w:lineRule="exact"/>
        <w:ind w:firstLine="640"/>
        <w:textAlignment w:val="auto"/>
      </w:pPr>
      <w:r>
        <w:rPr>
          <w:rFonts w:hint="eastAsia"/>
        </w:rPr>
        <w:t>（四）全省日发用电情况在次日10:00前披露。</w:t>
      </w:r>
    </w:p>
    <w:p>
      <w:pPr>
        <w:pStyle w:val="45"/>
        <w:pageBreakBefore w:val="0"/>
        <w:kinsoku/>
        <w:wordWrap/>
        <w:overflowPunct/>
        <w:topLinePunct w:val="0"/>
        <w:autoSpaceDE/>
        <w:autoSpaceDN/>
        <w:bidi w:val="0"/>
        <w:adjustRightInd/>
        <w:snapToGrid/>
        <w:spacing w:line="560" w:lineRule="exact"/>
        <w:ind w:firstLine="640"/>
        <w:textAlignment w:val="auto"/>
        <w:rPr>
          <w:color w:val="auto"/>
        </w:rPr>
      </w:pPr>
      <w:r>
        <w:rPr>
          <w:rFonts w:hint="eastAsia"/>
          <w:color w:val="auto"/>
        </w:rPr>
        <w:t>市场成员中长期交易相</w:t>
      </w:r>
      <w:r>
        <w:rPr>
          <w:color w:val="auto"/>
        </w:rPr>
        <w:t>关</w:t>
      </w:r>
      <w:r>
        <w:rPr>
          <w:rFonts w:hint="eastAsia"/>
          <w:color w:val="auto"/>
        </w:rPr>
        <w:t>信息披露</w:t>
      </w:r>
      <w:r>
        <w:rPr>
          <w:color w:val="auto"/>
        </w:rPr>
        <w:t>时间节点：</w:t>
      </w:r>
    </w:p>
    <w:p>
      <w:pPr>
        <w:pageBreakBefore w:val="0"/>
        <w:kinsoku/>
        <w:wordWrap/>
        <w:overflowPunct/>
        <w:topLinePunct w:val="0"/>
        <w:autoSpaceDE/>
        <w:autoSpaceDN/>
        <w:bidi w:val="0"/>
        <w:adjustRightInd/>
        <w:snapToGrid/>
        <w:spacing w:line="560" w:lineRule="exact"/>
        <w:ind w:firstLine="640"/>
        <w:textAlignment w:val="auto"/>
      </w:pPr>
      <w:r>
        <w:rPr>
          <w:rFonts w:hint="eastAsia"/>
        </w:rPr>
        <w:t>（</w:t>
      </w:r>
      <w:r>
        <w:t>一）</w:t>
      </w:r>
      <w:r>
        <w:rPr>
          <w:rFonts w:hint="eastAsia"/>
        </w:rPr>
        <w:t>交易过程信息在交易过程中通过电力交易技术支持系统和交易网站实时披露。</w:t>
      </w:r>
    </w:p>
    <w:p>
      <w:pPr>
        <w:pageBreakBefore w:val="0"/>
        <w:kinsoku/>
        <w:wordWrap/>
        <w:overflowPunct/>
        <w:topLinePunct w:val="0"/>
        <w:autoSpaceDE/>
        <w:autoSpaceDN/>
        <w:bidi w:val="0"/>
        <w:adjustRightInd/>
        <w:snapToGrid/>
        <w:spacing w:line="560" w:lineRule="exact"/>
        <w:ind w:firstLine="640"/>
        <w:textAlignment w:val="auto"/>
      </w:pPr>
      <w:r>
        <w:rPr>
          <w:rFonts w:hint="eastAsia"/>
        </w:rPr>
        <w:t>（二）年度交易信息</w:t>
      </w:r>
    </w:p>
    <w:p>
      <w:pPr>
        <w:pageBreakBefore w:val="0"/>
        <w:kinsoku/>
        <w:wordWrap/>
        <w:overflowPunct/>
        <w:topLinePunct w:val="0"/>
        <w:autoSpaceDE/>
        <w:autoSpaceDN/>
        <w:bidi w:val="0"/>
        <w:adjustRightInd/>
        <w:snapToGrid/>
        <w:spacing w:line="560" w:lineRule="exact"/>
        <w:ind w:firstLine="640"/>
        <w:textAlignment w:val="auto"/>
      </w:pPr>
      <w:r>
        <w:rPr>
          <w:rFonts w:hint="eastAsia"/>
        </w:rPr>
        <w:t>1、次年年度预测信息在本年度11月底前披露；年度交易执行情况信息在次年1月底前披露。</w:t>
      </w:r>
    </w:p>
    <w:p>
      <w:pPr>
        <w:pageBreakBefore w:val="0"/>
        <w:kinsoku/>
        <w:wordWrap/>
        <w:overflowPunct/>
        <w:topLinePunct w:val="0"/>
        <w:autoSpaceDE/>
        <w:autoSpaceDN/>
        <w:bidi w:val="0"/>
        <w:adjustRightInd/>
        <w:snapToGrid/>
        <w:spacing w:line="560" w:lineRule="exact"/>
        <w:ind w:firstLine="640"/>
        <w:textAlignment w:val="auto"/>
      </w:pPr>
      <w:r>
        <w:rPr>
          <w:rFonts w:hint="eastAsia"/>
        </w:rPr>
        <w:t>2、年度交易公告信息在交易开始5个工作日前发布。</w:t>
      </w:r>
    </w:p>
    <w:p>
      <w:pPr>
        <w:pageBreakBefore w:val="0"/>
        <w:kinsoku/>
        <w:wordWrap/>
        <w:overflowPunct/>
        <w:topLinePunct w:val="0"/>
        <w:autoSpaceDE/>
        <w:autoSpaceDN/>
        <w:bidi w:val="0"/>
        <w:adjustRightInd/>
        <w:snapToGrid/>
        <w:spacing w:line="560" w:lineRule="exact"/>
        <w:ind w:firstLine="640"/>
        <w:textAlignment w:val="auto"/>
      </w:pPr>
      <w:r>
        <w:rPr>
          <w:rFonts w:hint="eastAsia"/>
        </w:rPr>
        <w:t>3、年度交易结果信息在交易完成后</w:t>
      </w:r>
      <w:r>
        <w:t>12</w:t>
      </w:r>
      <w:r>
        <w:rPr>
          <w:rFonts w:hint="eastAsia"/>
        </w:rPr>
        <w:t>个工作日内披露,相应市场成员在交易完成后5个工作日完成信息报送。</w:t>
      </w:r>
    </w:p>
    <w:p>
      <w:pPr>
        <w:pageBreakBefore w:val="0"/>
        <w:kinsoku/>
        <w:wordWrap/>
        <w:overflowPunct/>
        <w:topLinePunct w:val="0"/>
        <w:autoSpaceDE/>
        <w:autoSpaceDN/>
        <w:bidi w:val="0"/>
        <w:adjustRightInd/>
        <w:snapToGrid/>
        <w:spacing w:line="560" w:lineRule="exact"/>
        <w:ind w:firstLine="640"/>
        <w:textAlignment w:val="auto"/>
      </w:pPr>
      <w:r>
        <w:rPr>
          <w:rFonts w:hint="eastAsia"/>
        </w:rPr>
        <w:t>（三）月度交易信息</w:t>
      </w:r>
    </w:p>
    <w:p>
      <w:pPr>
        <w:pageBreakBefore w:val="0"/>
        <w:kinsoku/>
        <w:wordWrap/>
        <w:overflowPunct/>
        <w:topLinePunct w:val="0"/>
        <w:autoSpaceDE/>
        <w:autoSpaceDN/>
        <w:bidi w:val="0"/>
        <w:adjustRightInd/>
        <w:snapToGrid/>
        <w:spacing w:line="560" w:lineRule="exact"/>
        <w:ind w:firstLine="640"/>
        <w:textAlignment w:val="auto"/>
      </w:pPr>
      <w:r>
        <w:rPr>
          <w:rFonts w:hint="eastAsia"/>
        </w:rPr>
        <w:t>1、次月预测信息在本月</w:t>
      </w:r>
      <w:r>
        <w:t>25</w:t>
      </w:r>
      <w:r>
        <w:rPr>
          <w:rFonts w:hint="eastAsia"/>
        </w:rPr>
        <w:t>个工作日前披露；交易执行情况信息在次月前10个工作日内披露</w:t>
      </w:r>
    </w:p>
    <w:p>
      <w:pPr>
        <w:pageBreakBefore w:val="0"/>
        <w:kinsoku/>
        <w:wordWrap/>
        <w:overflowPunct/>
        <w:topLinePunct w:val="0"/>
        <w:autoSpaceDE/>
        <w:autoSpaceDN/>
        <w:bidi w:val="0"/>
        <w:adjustRightInd/>
        <w:snapToGrid/>
        <w:spacing w:line="560" w:lineRule="exact"/>
        <w:ind w:firstLine="640"/>
        <w:textAlignment w:val="auto"/>
      </w:pPr>
      <w:r>
        <w:rPr>
          <w:rFonts w:hint="eastAsia"/>
        </w:rPr>
        <w:t>2、月度交易公告信息在交易开始2个工作日前发布。</w:t>
      </w:r>
    </w:p>
    <w:p>
      <w:pPr>
        <w:pageBreakBefore w:val="0"/>
        <w:kinsoku/>
        <w:wordWrap/>
        <w:overflowPunct/>
        <w:topLinePunct w:val="0"/>
        <w:autoSpaceDE/>
        <w:autoSpaceDN/>
        <w:bidi w:val="0"/>
        <w:adjustRightInd/>
        <w:snapToGrid/>
        <w:spacing w:line="560" w:lineRule="exact"/>
        <w:ind w:firstLine="640"/>
        <w:textAlignment w:val="auto"/>
      </w:pPr>
      <w:r>
        <w:rPr>
          <w:rFonts w:hint="eastAsia"/>
        </w:rPr>
        <w:t>3、月度交易结果信息在交易完成后5个工作日内对外披露。</w:t>
      </w:r>
    </w:p>
    <w:p>
      <w:pPr>
        <w:pageBreakBefore w:val="0"/>
        <w:kinsoku/>
        <w:wordWrap/>
        <w:overflowPunct/>
        <w:topLinePunct w:val="0"/>
        <w:autoSpaceDE/>
        <w:autoSpaceDN/>
        <w:bidi w:val="0"/>
        <w:adjustRightInd/>
        <w:snapToGrid/>
        <w:spacing w:line="560" w:lineRule="exact"/>
        <w:ind w:firstLine="640"/>
        <w:textAlignment w:val="auto"/>
      </w:pPr>
      <w:r>
        <w:rPr>
          <w:rFonts w:hint="eastAsia"/>
        </w:rPr>
        <w:t>4、电</w:t>
      </w:r>
      <w:r>
        <w:t>网代理</w:t>
      </w:r>
      <w:r>
        <w:rPr>
          <w:rFonts w:hint="eastAsia"/>
        </w:rPr>
        <w:t>购</w:t>
      </w:r>
      <w:r>
        <w:t>电</w:t>
      </w:r>
      <w:r>
        <w:rPr>
          <w:rFonts w:hint="eastAsia"/>
        </w:rPr>
        <w:t>次</w:t>
      </w:r>
      <w:r>
        <w:t>月代理电价</w:t>
      </w:r>
      <w:r>
        <w:rPr>
          <w:rFonts w:hint="eastAsia"/>
        </w:rPr>
        <w:t>信息</w:t>
      </w:r>
      <w:r>
        <w:t>在月底</w:t>
      </w:r>
      <w:r>
        <w:rPr>
          <w:rFonts w:hint="eastAsia"/>
        </w:rPr>
        <w:t>前</w:t>
      </w:r>
      <w:r>
        <w:t>三天披露</w:t>
      </w:r>
      <w:r>
        <w:rPr>
          <w:rFonts w:hint="eastAsia"/>
        </w:rPr>
        <w:t>。</w:t>
      </w:r>
    </w:p>
    <w:p>
      <w:pPr>
        <w:pageBreakBefore w:val="0"/>
        <w:kinsoku/>
        <w:wordWrap/>
        <w:overflowPunct/>
        <w:topLinePunct w:val="0"/>
        <w:autoSpaceDE/>
        <w:autoSpaceDN/>
        <w:bidi w:val="0"/>
        <w:adjustRightInd/>
        <w:snapToGrid/>
        <w:spacing w:line="560" w:lineRule="exact"/>
        <w:ind w:firstLine="640"/>
        <w:textAlignment w:val="auto"/>
      </w:pPr>
      <w:r>
        <w:rPr>
          <w:rFonts w:hint="eastAsia"/>
        </w:rPr>
        <w:t>5、电网</w:t>
      </w:r>
      <w:r>
        <w:t>公司、电力调度机构</w:t>
      </w:r>
      <w:r>
        <w:rPr>
          <w:rFonts w:hint="eastAsia"/>
        </w:rPr>
        <w:t>提供</w:t>
      </w:r>
      <w:r>
        <w:t>的</w:t>
      </w:r>
      <w:r>
        <w:rPr>
          <w:rFonts w:hint="eastAsia"/>
        </w:rPr>
        <w:t>各</w:t>
      </w:r>
      <w:r>
        <w:t>市场主体</w:t>
      </w:r>
      <w:r>
        <w:rPr>
          <w:rFonts w:hint="eastAsia"/>
        </w:rPr>
        <w:t>结算</w:t>
      </w:r>
      <w:r>
        <w:t>基础类信息，在当月</w:t>
      </w:r>
      <w:r>
        <w:rPr>
          <w:rFonts w:hint="eastAsia"/>
        </w:rPr>
        <w:t>30日</w:t>
      </w:r>
      <w:r>
        <w:t>前</w:t>
      </w:r>
      <w:r>
        <w:rPr>
          <w:rFonts w:hint="eastAsia"/>
        </w:rPr>
        <w:t>向</w:t>
      </w:r>
      <w:r>
        <w:t>交易机构提供</w:t>
      </w:r>
      <w:r>
        <w:rPr>
          <w:rFonts w:hint="eastAsia"/>
        </w:rPr>
        <w:t>；月度交易结算总体情况信息在次月前</w:t>
      </w:r>
      <w:r>
        <w:t>10</w:t>
      </w:r>
      <w:r>
        <w:rPr>
          <w:rFonts w:hint="eastAsia"/>
        </w:rPr>
        <w:t>个工作日内披露。</w:t>
      </w:r>
    </w:p>
    <w:p>
      <w:pPr>
        <w:pageBreakBefore w:val="0"/>
        <w:kinsoku/>
        <w:wordWrap/>
        <w:overflowPunct/>
        <w:topLinePunct w:val="0"/>
        <w:autoSpaceDE/>
        <w:autoSpaceDN/>
        <w:bidi w:val="0"/>
        <w:adjustRightInd/>
        <w:snapToGrid/>
        <w:spacing w:line="560" w:lineRule="exact"/>
        <w:ind w:firstLine="640"/>
        <w:textAlignment w:val="auto"/>
      </w:pPr>
      <w:r>
        <w:rPr>
          <w:rFonts w:hint="eastAsia"/>
        </w:rPr>
        <w:t>（三）月内交易信息</w:t>
      </w:r>
    </w:p>
    <w:p>
      <w:pPr>
        <w:pageBreakBefore w:val="0"/>
        <w:kinsoku/>
        <w:wordWrap/>
        <w:overflowPunct/>
        <w:topLinePunct w:val="0"/>
        <w:autoSpaceDE/>
        <w:autoSpaceDN/>
        <w:bidi w:val="0"/>
        <w:adjustRightInd/>
        <w:snapToGrid/>
        <w:spacing w:line="560" w:lineRule="exact"/>
        <w:ind w:firstLine="640"/>
        <w:textAlignment w:val="auto"/>
      </w:pPr>
      <w:r>
        <w:rPr>
          <w:rFonts w:hint="eastAsia"/>
        </w:rPr>
        <w:t>1、月内交易公告在交易开始1个工作日前发布。</w:t>
      </w:r>
    </w:p>
    <w:p>
      <w:pPr>
        <w:pageBreakBefore w:val="0"/>
        <w:kinsoku/>
        <w:wordWrap/>
        <w:overflowPunct/>
        <w:topLinePunct w:val="0"/>
        <w:autoSpaceDE/>
        <w:autoSpaceDN/>
        <w:bidi w:val="0"/>
        <w:adjustRightInd/>
        <w:snapToGrid/>
        <w:spacing w:line="560" w:lineRule="exact"/>
        <w:ind w:firstLine="640"/>
        <w:textAlignment w:val="auto"/>
      </w:pPr>
      <w:r>
        <w:rPr>
          <w:rFonts w:hint="eastAsia"/>
        </w:rPr>
        <w:t>2、月内交易结果信息在交易完成后3个工作日内披露。</w:t>
      </w:r>
    </w:p>
    <w:p>
      <w:pPr>
        <w:pageBreakBefore w:val="0"/>
        <w:kinsoku/>
        <w:wordWrap/>
        <w:overflowPunct/>
        <w:topLinePunct w:val="0"/>
        <w:autoSpaceDE/>
        <w:autoSpaceDN/>
        <w:bidi w:val="0"/>
        <w:adjustRightInd/>
        <w:snapToGrid/>
        <w:spacing w:line="560" w:lineRule="exact"/>
        <w:ind w:firstLine="640"/>
        <w:textAlignment w:val="auto"/>
      </w:pPr>
      <w:r>
        <w:rPr>
          <w:rFonts w:hint="eastAsia"/>
        </w:rPr>
        <w:t>3、临时公告根据实际情况及时发布。</w:t>
      </w:r>
    </w:p>
    <w:p>
      <w:pPr>
        <w:pStyle w:val="45"/>
        <w:pageBreakBefore w:val="0"/>
        <w:kinsoku/>
        <w:wordWrap/>
        <w:overflowPunct/>
        <w:topLinePunct w:val="0"/>
        <w:autoSpaceDE/>
        <w:autoSpaceDN/>
        <w:bidi w:val="0"/>
        <w:adjustRightInd/>
        <w:snapToGrid/>
        <w:spacing w:line="560" w:lineRule="exact"/>
        <w:ind w:firstLine="640"/>
        <w:textAlignment w:val="auto"/>
        <w:rPr>
          <w:color w:val="auto"/>
        </w:rPr>
      </w:pPr>
      <w:r>
        <w:rPr>
          <w:rFonts w:hint="eastAsia"/>
          <w:color w:val="auto"/>
        </w:rPr>
        <w:t>市场成员</w:t>
      </w:r>
      <w:bookmarkStart w:id="4" w:name="_Hlk88145875"/>
      <w:r>
        <w:rPr>
          <w:rFonts w:hint="eastAsia"/>
          <w:color w:val="auto"/>
        </w:rPr>
        <w:t>现货交易相</w:t>
      </w:r>
      <w:r>
        <w:rPr>
          <w:color w:val="auto"/>
        </w:rPr>
        <w:t>关</w:t>
      </w:r>
      <w:r>
        <w:rPr>
          <w:rFonts w:hint="eastAsia"/>
          <w:color w:val="auto"/>
        </w:rPr>
        <w:t>信息披露</w:t>
      </w:r>
      <w:r>
        <w:rPr>
          <w:color w:val="auto"/>
        </w:rPr>
        <w:t>时间节点</w:t>
      </w:r>
      <w:bookmarkEnd w:id="4"/>
      <w:r>
        <w:rPr>
          <w:color w:val="auto"/>
        </w:rPr>
        <w:t>：</w:t>
      </w:r>
    </w:p>
    <w:p>
      <w:pPr>
        <w:pStyle w:val="45"/>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color w:val="auto"/>
        </w:rPr>
      </w:pPr>
      <w:r>
        <w:rPr>
          <w:rFonts w:hint="eastAsia"/>
          <w:color w:val="auto"/>
        </w:rPr>
        <w:t>（一）市场参数、电</w:t>
      </w:r>
      <w:r>
        <w:rPr>
          <w:color w:val="auto"/>
        </w:rPr>
        <w:t>网安</w:t>
      </w:r>
      <w:r>
        <w:rPr>
          <w:rFonts w:hint="eastAsia"/>
          <w:color w:val="auto"/>
        </w:rPr>
        <w:t>全</w:t>
      </w:r>
      <w:r>
        <w:rPr>
          <w:color w:val="auto"/>
        </w:rPr>
        <w:t>约束</w:t>
      </w:r>
      <w:r>
        <w:rPr>
          <w:rFonts w:hint="eastAsia"/>
          <w:color w:val="auto"/>
        </w:rPr>
        <w:t>、</w:t>
      </w:r>
      <w:r>
        <w:rPr>
          <w:color w:val="auto"/>
        </w:rPr>
        <w:t>日前预测等</w:t>
      </w:r>
      <w:r>
        <w:rPr>
          <w:rFonts w:hint="eastAsia"/>
          <w:color w:val="auto"/>
        </w:rPr>
        <w:t>边界信息</w:t>
      </w:r>
      <w:r>
        <w:rPr>
          <w:color w:val="auto"/>
        </w:rPr>
        <w:t>在日</w:t>
      </w:r>
      <w:r>
        <w:rPr>
          <w:rFonts w:hint="eastAsia"/>
          <w:color w:val="auto"/>
        </w:rPr>
        <w:t>前</w:t>
      </w:r>
      <w:r>
        <w:rPr>
          <w:color w:val="auto"/>
        </w:rPr>
        <w:t>申报结束前披露。</w:t>
      </w:r>
    </w:p>
    <w:p>
      <w:pPr>
        <w:pageBreakBefore w:val="0"/>
        <w:kinsoku/>
        <w:wordWrap/>
        <w:overflowPunct/>
        <w:topLinePunct w:val="0"/>
        <w:autoSpaceDE/>
        <w:autoSpaceDN/>
        <w:bidi w:val="0"/>
        <w:adjustRightInd/>
        <w:snapToGrid/>
        <w:spacing w:line="560" w:lineRule="exact"/>
        <w:ind w:firstLine="640"/>
        <w:textAlignment w:val="auto"/>
      </w:pPr>
      <w:r>
        <w:rPr>
          <w:rFonts w:hint="eastAsia"/>
        </w:rPr>
        <w:t>（二）周</w:t>
      </w:r>
      <w:r>
        <w:t>预测信息</w:t>
      </w:r>
      <w:r>
        <w:rPr>
          <w:rFonts w:hint="eastAsia"/>
        </w:rPr>
        <w:t>在本</w:t>
      </w:r>
      <w:r>
        <w:t>周五之前</w:t>
      </w:r>
      <w:r>
        <w:rPr>
          <w:rFonts w:hint="eastAsia"/>
        </w:rPr>
        <w:t>披露</w:t>
      </w:r>
      <w:r>
        <w:t>次周信息；周运行数据在每周二之</w:t>
      </w:r>
      <w:r>
        <w:rPr>
          <w:rFonts w:hint="eastAsia"/>
        </w:rPr>
        <w:t>前</w:t>
      </w:r>
      <w:r>
        <w:t>披露上周信息。</w:t>
      </w:r>
    </w:p>
    <w:p>
      <w:pPr>
        <w:pageBreakBefore w:val="0"/>
        <w:kinsoku/>
        <w:wordWrap/>
        <w:overflowPunct/>
        <w:topLinePunct w:val="0"/>
        <w:autoSpaceDE/>
        <w:autoSpaceDN/>
        <w:bidi w:val="0"/>
        <w:adjustRightInd/>
        <w:snapToGrid/>
        <w:spacing w:line="560" w:lineRule="exact"/>
        <w:ind w:firstLine="640"/>
        <w:textAlignment w:val="auto"/>
      </w:pPr>
      <w:r>
        <w:rPr>
          <w:rFonts w:hint="eastAsia"/>
        </w:rPr>
        <w:t>（三）日前市场预出清结果在运行日前一天</w:t>
      </w:r>
      <w:r>
        <w:t>10:00</w:t>
      </w:r>
      <w:r>
        <w:rPr>
          <w:rFonts w:hint="eastAsia"/>
        </w:rPr>
        <w:t>点前披露；正式出清结果在运行日前一天</w:t>
      </w:r>
      <w:r>
        <w:t>18:00</w:t>
      </w:r>
      <w:r>
        <w:rPr>
          <w:rFonts w:hint="eastAsia"/>
        </w:rPr>
        <w:t>前披露；实时交易出清结果在运行前15分钟披露。</w:t>
      </w:r>
    </w:p>
    <w:p>
      <w:pPr>
        <w:pageBreakBefore w:val="0"/>
        <w:kinsoku/>
        <w:wordWrap/>
        <w:overflowPunct/>
        <w:topLinePunct w:val="0"/>
        <w:autoSpaceDE/>
        <w:autoSpaceDN/>
        <w:bidi w:val="0"/>
        <w:adjustRightInd/>
        <w:snapToGrid/>
        <w:spacing w:line="560" w:lineRule="exact"/>
        <w:ind w:firstLine="640"/>
        <w:textAlignment w:val="auto"/>
      </w:pPr>
      <w:r>
        <w:rPr>
          <w:rFonts w:hint="eastAsia"/>
        </w:rPr>
        <w:t>（四）现货市场日清算按周发布，电网企业、电力调</w:t>
      </w:r>
      <w:r>
        <w:t>度机构</w:t>
      </w:r>
      <w:r>
        <w:rPr>
          <w:rFonts w:hint="eastAsia"/>
        </w:rPr>
        <w:t>在运行日后第3天（D+3）将用于现货结算的运行日（D）基础信息数据提供至交易机构。</w:t>
      </w:r>
    </w:p>
    <w:p>
      <w:pPr>
        <w:pageBreakBefore w:val="0"/>
        <w:kinsoku/>
        <w:wordWrap/>
        <w:overflowPunct/>
        <w:topLinePunct w:val="0"/>
        <w:autoSpaceDE/>
        <w:autoSpaceDN/>
        <w:bidi w:val="0"/>
        <w:adjustRightInd/>
        <w:snapToGrid/>
        <w:spacing w:line="560" w:lineRule="exact"/>
        <w:ind w:firstLine="640"/>
        <w:textAlignment w:val="auto"/>
      </w:pPr>
      <w:r>
        <w:rPr>
          <w:rFonts w:hint="eastAsia"/>
        </w:rPr>
        <w:t>（五）运行信息应在实时运行结束后尽快发布。</w:t>
      </w:r>
    </w:p>
    <w:p>
      <w:pPr>
        <w:pageBreakBefore w:val="0"/>
        <w:kinsoku/>
        <w:wordWrap/>
        <w:overflowPunct/>
        <w:topLinePunct w:val="0"/>
        <w:autoSpaceDE/>
        <w:autoSpaceDN/>
        <w:bidi w:val="0"/>
        <w:adjustRightInd/>
        <w:snapToGrid/>
        <w:spacing w:line="560" w:lineRule="exact"/>
        <w:ind w:firstLine="640"/>
        <w:textAlignment w:val="auto"/>
      </w:pPr>
      <w:r>
        <w:rPr>
          <w:rFonts w:hint="eastAsia"/>
        </w:rPr>
        <w:t>（六）在现货运行初期，</w:t>
      </w:r>
      <w:r>
        <w:rPr>
          <w:rFonts w:hint="eastAsia"/>
          <w:lang w:val="en-US" w:eastAsia="zh-CN"/>
        </w:rPr>
        <w:t>信息</w:t>
      </w:r>
      <w:r>
        <w:rPr>
          <w:rFonts w:hint="eastAsia"/>
        </w:rPr>
        <w:t>披露及时性可结合四川省最</w:t>
      </w:r>
      <w:r>
        <w:t>新</w:t>
      </w:r>
      <w:r>
        <w:rPr>
          <w:rFonts w:hint="eastAsia"/>
        </w:rPr>
        <w:t>电力现货市场实施细则要求</w:t>
      </w:r>
      <w:r>
        <w:t>进行调整</w:t>
      </w:r>
      <w:r>
        <w:rPr>
          <w:rFonts w:hint="eastAsia"/>
        </w:rPr>
        <w:t>。</w:t>
      </w:r>
    </w:p>
    <w:p>
      <w:pPr>
        <w:pStyle w:val="45"/>
        <w:pageBreakBefore w:val="0"/>
        <w:kinsoku/>
        <w:wordWrap/>
        <w:overflowPunct/>
        <w:topLinePunct w:val="0"/>
        <w:autoSpaceDE/>
        <w:autoSpaceDN/>
        <w:bidi w:val="0"/>
        <w:adjustRightInd/>
        <w:snapToGrid/>
        <w:spacing w:line="560" w:lineRule="exact"/>
        <w:ind w:firstLine="640"/>
        <w:textAlignment w:val="auto"/>
        <w:rPr>
          <w:color w:val="auto"/>
        </w:rPr>
      </w:pPr>
      <w:r>
        <w:rPr>
          <w:rFonts w:hint="eastAsia"/>
          <w:color w:val="auto"/>
        </w:rPr>
        <w:t>其他信息披露</w:t>
      </w:r>
      <w:r>
        <w:rPr>
          <w:color w:val="auto"/>
        </w:rPr>
        <w:t>时间节点：</w:t>
      </w:r>
    </w:p>
    <w:p>
      <w:pPr>
        <w:pStyle w:val="45"/>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color w:val="auto"/>
        </w:rPr>
      </w:pPr>
      <w:r>
        <w:rPr>
          <w:rFonts w:hint="eastAsia"/>
          <w:color w:val="auto"/>
        </w:rPr>
        <w:t>（</w:t>
      </w:r>
      <w:r>
        <w:rPr>
          <w:color w:val="auto"/>
        </w:rPr>
        <w:t>一）违约信息通报</w:t>
      </w:r>
      <w:r>
        <w:rPr>
          <w:rFonts w:hint="eastAsia"/>
          <w:color w:val="auto"/>
        </w:rPr>
        <w:t>、市场违约及整改处理情况根据具体事项及</w:t>
      </w:r>
      <w:r>
        <w:rPr>
          <w:color w:val="auto"/>
        </w:rPr>
        <w:t>时</w:t>
      </w:r>
      <w:r>
        <w:rPr>
          <w:rFonts w:hint="eastAsia"/>
          <w:color w:val="auto"/>
        </w:rPr>
        <w:t>披露。</w:t>
      </w:r>
    </w:p>
    <w:p>
      <w:pPr>
        <w:pStyle w:val="45"/>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color w:val="auto"/>
        </w:rPr>
      </w:pPr>
      <w:r>
        <w:rPr>
          <w:rFonts w:hint="eastAsia"/>
          <w:color w:val="auto"/>
        </w:rPr>
        <w:t>（二）月度信息</w:t>
      </w:r>
      <w:r>
        <w:rPr>
          <w:color w:val="auto"/>
        </w:rPr>
        <w:t>披露报告在</w:t>
      </w:r>
      <w:r>
        <w:rPr>
          <w:rFonts w:hint="eastAsia"/>
          <w:color w:val="auto"/>
        </w:rPr>
        <w:t>次月15个工作日</w:t>
      </w:r>
      <w:r>
        <w:rPr>
          <w:color w:val="auto"/>
        </w:rPr>
        <w:t>前披露</w:t>
      </w:r>
      <w:r>
        <w:rPr>
          <w:rFonts w:hint="eastAsia"/>
          <w:color w:val="auto"/>
        </w:rPr>
        <w:t>，年度信息披露报告在次年1月底前披露</w:t>
      </w:r>
      <w:r>
        <w:rPr>
          <w:color w:val="auto"/>
        </w:rPr>
        <w:t>。</w:t>
      </w:r>
    </w:p>
    <w:p>
      <w:pPr>
        <w:pStyle w:val="45"/>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color w:val="auto"/>
        </w:rPr>
      </w:pPr>
      <w:r>
        <w:rPr>
          <w:rFonts w:hint="eastAsia"/>
          <w:color w:val="auto"/>
        </w:rPr>
        <w:t>（三）</w:t>
      </w:r>
      <w:r>
        <w:rPr>
          <w:color w:val="auto"/>
        </w:rPr>
        <w:t>售电公司年报</w:t>
      </w:r>
      <w:r>
        <w:rPr>
          <w:rFonts w:hint="eastAsia"/>
          <w:color w:val="auto"/>
        </w:rPr>
        <w:t>在次</w:t>
      </w:r>
      <w:r>
        <w:rPr>
          <w:color w:val="auto"/>
        </w:rPr>
        <w:t>年2</w:t>
      </w:r>
      <w:r>
        <w:rPr>
          <w:rFonts w:hint="eastAsia"/>
          <w:color w:val="auto"/>
        </w:rPr>
        <w:t>月底</w:t>
      </w:r>
      <w:r>
        <w:rPr>
          <w:color w:val="auto"/>
        </w:rPr>
        <w:t>前披露。</w:t>
      </w:r>
    </w:p>
    <w:p>
      <w:pPr>
        <w:pageBreakBefore w:val="0"/>
        <w:numPr>
          <w:ilvl w:val="0"/>
          <w:numId w:val="0"/>
        </w:numPr>
        <w:kinsoku/>
        <w:wordWrap/>
        <w:overflowPunct/>
        <w:topLinePunct w:val="0"/>
        <w:autoSpaceDE/>
        <w:autoSpaceDN/>
        <w:bidi w:val="0"/>
        <w:adjustRightInd/>
        <w:snapToGrid/>
        <w:spacing w:line="560" w:lineRule="exact"/>
        <w:ind w:firstLine="640" w:firstLineChars="0"/>
        <w:textAlignment w:val="auto"/>
      </w:pPr>
      <w:r>
        <w:rPr>
          <w:rFonts w:hint="eastAsia"/>
        </w:rPr>
        <w:t>（四）售电公司运营管理信息在每年3月底前披露。</w:t>
      </w:r>
    </w:p>
    <w:p>
      <w:pPr>
        <w:pStyle w:val="45"/>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color w:val="auto"/>
        </w:rPr>
      </w:pPr>
      <w:r>
        <w:rPr>
          <w:rFonts w:hint="eastAsia"/>
          <w:color w:val="auto"/>
        </w:rPr>
        <w:t>（五）电力</w:t>
      </w:r>
      <w:r>
        <w:rPr>
          <w:color w:val="auto"/>
        </w:rPr>
        <w:t>交易机构财务审核报告在次年</w:t>
      </w:r>
      <w:r>
        <w:rPr>
          <w:rFonts w:hint="eastAsia"/>
          <w:color w:val="auto"/>
        </w:rPr>
        <w:t>5月</w:t>
      </w:r>
      <w:r>
        <w:rPr>
          <w:color w:val="auto"/>
        </w:rPr>
        <w:t>底前披露。</w:t>
      </w:r>
    </w:p>
    <w:p>
      <w:pPr>
        <w:pageBreakBefore w:val="0"/>
        <w:kinsoku/>
        <w:wordWrap/>
        <w:overflowPunct/>
        <w:topLinePunct w:val="0"/>
        <w:autoSpaceDE/>
        <w:autoSpaceDN/>
        <w:bidi w:val="0"/>
        <w:adjustRightInd/>
        <w:snapToGrid/>
        <w:spacing w:line="560" w:lineRule="exact"/>
        <w:ind w:firstLine="640" w:firstLineChars="0"/>
        <w:textAlignment w:val="auto"/>
      </w:pPr>
      <w:r>
        <w:rPr>
          <w:rFonts w:hint="eastAsia"/>
        </w:rPr>
        <w:t>（六</w:t>
      </w:r>
      <w:r>
        <w:t>）第三方检验报告在</w:t>
      </w:r>
      <w:r>
        <w:rPr>
          <w:rFonts w:hint="eastAsia"/>
        </w:rPr>
        <w:t>现</w:t>
      </w:r>
      <w:r>
        <w:t>货正式运行前披露。</w:t>
      </w:r>
    </w:p>
    <w:p>
      <w:pPr>
        <w:pageBreakBefore w:val="0"/>
        <w:kinsoku/>
        <w:wordWrap/>
        <w:overflowPunct/>
        <w:topLinePunct w:val="0"/>
        <w:autoSpaceDE/>
        <w:autoSpaceDN/>
        <w:bidi w:val="0"/>
        <w:adjustRightInd/>
        <w:snapToGrid/>
        <w:spacing w:line="560" w:lineRule="exact"/>
        <w:ind w:firstLine="640" w:firstLineChars="0"/>
        <w:textAlignment w:val="auto"/>
      </w:pPr>
      <w:r>
        <w:rPr>
          <w:rFonts w:hint="eastAsia"/>
        </w:rPr>
        <w:t>（七</w:t>
      </w:r>
      <w:r>
        <w:t>）政</w:t>
      </w:r>
      <w:r>
        <w:rPr>
          <w:rFonts w:hint="eastAsia"/>
        </w:rPr>
        <w:t>策</w:t>
      </w:r>
      <w:r>
        <w:t>法规、</w:t>
      </w:r>
      <w:r>
        <w:rPr>
          <w:rFonts w:hint="eastAsia"/>
        </w:rPr>
        <w:t>市场</w:t>
      </w:r>
      <w:r>
        <w:t>规则</w:t>
      </w:r>
      <w:r>
        <w:rPr>
          <w:rFonts w:hint="eastAsia"/>
        </w:rPr>
        <w:t>、标准</w:t>
      </w:r>
      <w:r>
        <w:t>规范等</w:t>
      </w:r>
      <w:r>
        <w:rPr>
          <w:rFonts w:hint="eastAsia"/>
        </w:rPr>
        <w:t>信息</w:t>
      </w:r>
      <w:r>
        <w:t>在相关正式文件出台后</w:t>
      </w:r>
      <w:r>
        <w:rPr>
          <w:rFonts w:hint="eastAsia"/>
        </w:rPr>
        <w:t>、</w:t>
      </w:r>
      <w:r>
        <w:t>市场启动前披露</w:t>
      </w:r>
      <w:r>
        <w:rPr>
          <w:rFonts w:hint="eastAsia"/>
        </w:rPr>
        <w:t>，</w:t>
      </w:r>
      <w:r>
        <w:t>有变动时应及时更新。</w:t>
      </w:r>
    </w:p>
    <w:p>
      <w:pPr>
        <w:pageBreakBefore w:val="0"/>
        <w:kinsoku/>
        <w:wordWrap/>
        <w:overflowPunct/>
        <w:topLinePunct w:val="0"/>
        <w:autoSpaceDE/>
        <w:autoSpaceDN/>
        <w:bidi w:val="0"/>
        <w:adjustRightInd/>
        <w:snapToGrid/>
        <w:spacing w:line="560" w:lineRule="exact"/>
        <w:ind w:firstLine="640" w:firstLineChars="0"/>
        <w:textAlignment w:val="auto"/>
      </w:pPr>
    </w:p>
    <w:p>
      <w:pPr>
        <w:pStyle w:val="2"/>
        <w:pageBreakBefore w:val="0"/>
        <w:numPr>
          <w:ilvl w:val="0"/>
          <w:numId w:val="1"/>
        </w:numPr>
        <w:kinsoku/>
        <w:wordWrap/>
        <w:overflowPunct/>
        <w:topLinePunct w:val="0"/>
        <w:autoSpaceDE/>
        <w:autoSpaceDN/>
        <w:bidi w:val="0"/>
        <w:adjustRightInd/>
        <w:snapToGrid/>
        <w:spacing w:line="560" w:lineRule="exact"/>
        <w:textAlignment w:val="auto"/>
      </w:pPr>
      <w:bookmarkStart w:id="5" w:name="_Hlk88146347"/>
      <w:r>
        <w:rPr>
          <w:rFonts w:hint="eastAsia"/>
        </w:rPr>
        <w:t>信息保密和封存</w:t>
      </w:r>
      <w:bookmarkEnd w:id="5"/>
    </w:p>
    <w:p>
      <w:pPr>
        <w:pStyle w:val="45"/>
        <w:pageBreakBefore w:val="0"/>
        <w:kinsoku/>
        <w:wordWrap/>
        <w:overflowPunct/>
        <w:topLinePunct w:val="0"/>
        <w:autoSpaceDE/>
        <w:autoSpaceDN/>
        <w:bidi w:val="0"/>
        <w:adjustRightInd/>
        <w:snapToGrid/>
        <w:spacing w:line="560" w:lineRule="exact"/>
        <w:ind w:firstLine="640"/>
        <w:textAlignment w:val="auto"/>
        <w:rPr>
          <w:color w:val="auto"/>
        </w:rPr>
      </w:pPr>
      <w:r>
        <w:rPr>
          <w:rFonts w:hint="eastAsia"/>
          <w:color w:val="auto"/>
        </w:rPr>
        <w:t>任何市场成员不得违规获取或者泄露未经授权披露的信息。市场成员的工作人员未经许可不得公开发表可能影响市场成交结果的言论。市场成员应当建立健全信息保密管理制度，定期开展保密培训，明确保密责任，必要时应当对办公系统、办公场所采取隔离措施。</w:t>
      </w:r>
    </w:p>
    <w:p>
      <w:pPr>
        <w:pStyle w:val="45"/>
        <w:pageBreakBefore w:val="0"/>
        <w:kinsoku/>
        <w:wordWrap/>
        <w:overflowPunct/>
        <w:topLinePunct w:val="0"/>
        <w:autoSpaceDE/>
        <w:autoSpaceDN/>
        <w:bidi w:val="0"/>
        <w:adjustRightInd/>
        <w:snapToGrid/>
        <w:spacing w:line="560" w:lineRule="exact"/>
        <w:ind w:firstLine="640"/>
        <w:textAlignment w:val="auto"/>
        <w:rPr>
          <w:color w:val="auto"/>
        </w:rPr>
      </w:pPr>
      <w:r>
        <w:rPr>
          <w:rFonts w:hint="eastAsia"/>
          <w:color w:val="auto"/>
        </w:rPr>
        <w:t>信息封存是指对关键信息的记录留存。任何有助于还原运行日情况的关键信息应当记录、封存。封存信息包括但不限于</w:t>
      </w:r>
      <w:r>
        <w:rPr>
          <w:color w:val="auto"/>
        </w:rPr>
        <w:t>:</w:t>
      </w:r>
    </w:p>
    <w:p>
      <w:pPr>
        <w:pageBreakBefore w:val="0"/>
        <w:kinsoku/>
        <w:wordWrap/>
        <w:overflowPunct/>
        <w:topLinePunct w:val="0"/>
        <w:autoSpaceDE/>
        <w:autoSpaceDN/>
        <w:bidi w:val="0"/>
        <w:adjustRightInd/>
        <w:snapToGrid/>
        <w:spacing w:line="560" w:lineRule="exact"/>
        <w:ind w:firstLine="640"/>
        <w:textAlignment w:val="auto"/>
      </w:pPr>
      <w:r>
        <w:t>（一）运行日市场出清模型信息。</w:t>
      </w:r>
    </w:p>
    <w:p>
      <w:pPr>
        <w:pageBreakBefore w:val="0"/>
        <w:kinsoku/>
        <w:wordWrap/>
        <w:overflowPunct/>
        <w:topLinePunct w:val="0"/>
        <w:autoSpaceDE/>
        <w:autoSpaceDN/>
        <w:bidi w:val="0"/>
        <w:adjustRightInd/>
        <w:snapToGrid/>
        <w:spacing w:line="560" w:lineRule="exact"/>
        <w:ind w:firstLine="640"/>
        <w:textAlignment w:val="auto"/>
      </w:pPr>
      <w:r>
        <w:t>（二）市场申报量价信息。</w:t>
      </w:r>
    </w:p>
    <w:p>
      <w:pPr>
        <w:pageBreakBefore w:val="0"/>
        <w:kinsoku/>
        <w:wordWrap/>
        <w:overflowPunct/>
        <w:topLinePunct w:val="0"/>
        <w:autoSpaceDE/>
        <w:autoSpaceDN/>
        <w:bidi w:val="0"/>
        <w:adjustRightInd/>
        <w:snapToGrid/>
        <w:spacing w:line="560" w:lineRule="exact"/>
        <w:ind w:firstLine="640"/>
        <w:textAlignment w:val="auto"/>
      </w:pPr>
      <w:r>
        <w:t>（三）市场边界信息，包括外来（外送）电曲线、检修停运类信息、预测信息、新能源发电曲线、电网约束信息等。</w:t>
      </w:r>
    </w:p>
    <w:p>
      <w:pPr>
        <w:pageBreakBefore w:val="0"/>
        <w:kinsoku/>
        <w:wordWrap/>
        <w:overflowPunct/>
        <w:topLinePunct w:val="0"/>
        <w:autoSpaceDE/>
        <w:autoSpaceDN/>
        <w:bidi w:val="0"/>
        <w:adjustRightInd/>
        <w:snapToGrid/>
        <w:spacing w:line="560" w:lineRule="exact"/>
        <w:ind w:firstLine="640"/>
        <w:textAlignment w:val="auto"/>
      </w:pPr>
      <w:r>
        <w:t>（四）市场干预行为，包括修改计划机组出力、修改外来（外送）电出力、修改市场出清参数、修改预设约束条件、调整检修计划、调整既有出清结果等，应当涵盖人工干预时间、干预人员、干预操作、干预原因、受影响主体以及影响程度信息等。</w:t>
      </w:r>
    </w:p>
    <w:p>
      <w:pPr>
        <w:pageBreakBefore w:val="0"/>
        <w:kinsoku/>
        <w:wordWrap/>
        <w:overflowPunct/>
        <w:topLinePunct w:val="0"/>
        <w:autoSpaceDE/>
        <w:autoSpaceDN/>
        <w:bidi w:val="0"/>
        <w:adjustRightInd/>
        <w:snapToGrid/>
        <w:spacing w:line="560" w:lineRule="exact"/>
        <w:ind w:firstLine="640"/>
        <w:textAlignment w:val="auto"/>
      </w:pPr>
      <w:r>
        <w:t>（五）实时运行数据，包括机组状态及机组出力曲线、电网实时频率等。</w:t>
      </w:r>
    </w:p>
    <w:p>
      <w:pPr>
        <w:pageBreakBefore w:val="0"/>
        <w:kinsoku/>
        <w:wordWrap/>
        <w:overflowPunct/>
        <w:topLinePunct w:val="0"/>
        <w:autoSpaceDE/>
        <w:autoSpaceDN/>
        <w:bidi w:val="0"/>
        <w:adjustRightInd/>
        <w:snapToGrid/>
        <w:spacing w:line="560" w:lineRule="exact"/>
        <w:ind w:firstLine="640"/>
        <w:textAlignment w:val="auto"/>
      </w:pPr>
      <w:r>
        <w:t>（六）市场结算数据、计量数据。</w:t>
      </w:r>
    </w:p>
    <w:p>
      <w:pPr>
        <w:pStyle w:val="45"/>
        <w:pageBreakBefore w:val="0"/>
        <w:kinsoku/>
        <w:wordWrap/>
        <w:overflowPunct/>
        <w:topLinePunct w:val="0"/>
        <w:autoSpaceDE/>
        <w:autoSpaceDN/>
        <w:bidi w:val="0"/>
        <w:adjustRightInd/>
        <w:snapToGrid/>
        <w:spacing w:line="560" w:lineRule="exact"/>
        <w:ind w:firstLine="640"/>
        <w:textAlignment w:val="auto"/>
        <w:rPr>
          <w:color w:val="auto"/>
        </w:rPr>
      </w:pPr>
      <w:r>
        <w:rPr>
          <w:color w:val="auto"/>
        </w:rPr>
        <w:t>电力交易机构、电力调度机构应当建立市场干预记录管理机制，明确记录保存方式。任何单位或者个人不得违法违规更改已封存信息。市场干预记录应当报市场管理委员会备案，</w:t>
      </w:r>
      <w:r>
        <w:rPr>
          <w:rFonts w:hint="eastAsia"/>
          <w:color w:val="auto"/>
        </w:rPr>
        <w:t>四川能源监管办</w:t>
      </w:r>
      <w:r>
        <w:rPr>
          <w:color w:val="auto"/>
        </w:rPr>
        <w:t>可定期对市场干预行为进行监管，保证市场干预行为的公平性。</w:t>
      </w:r>
    </w:p>
    <w:p>
      <w:pPr>
        <w:pStyle w:val="45"/>
        <w:pageBreakBefore w:val="0"/>
        <w:kinsoku/>
        <w:wordWrap/>
        <w:overflowPunct/>
        <w:topLinePunct w:val="0"/>
        <w:autoSpaceDE/>
        <w:autoSpaceDN/>
        <w:bidi w:val="0"/>
        <w:adjustRightInd/>
        <w:snapToGrid/>
        <w:spacing w:line="560" w:lineRule="exact"/>
        <w:ind w:firstLine="640"/>
        <w:textAlignment w:val="auto"/>
        <w:rPr>
          <w:color w:val="auto"/>
        </w:rPr>
      </w:pPr>
      <w:r>
        <w:rPr>
          <w:rFonts w:hint="eastAsia"/>
          <w:color w:val="auto"/>
        </w:rPr>
        <w:t>封存</w:t>
      </w:r>
      <w:r>
        <w:rPr>
          <w:color w:val="auto"/>
        </w:rPr>
        <w:t>的信息应当以易于访问的形式存档，并且存储系统应当满足访问、数据处理和安全方面的要求。</w:t>
      </w:r>
    </w:p>
    <w:p>
      <w:pPr>
        <w:pStyle w:val="45"/>
        <w:pageBreakBefore w:val="0"/>
        <w:kinsoku/>
        <w:wordWrap/>
        <w:overflowPunct/>
        <w:topLinePunct w:val="0"/>
        <w:autoSpaceDE/>
        <w:autoSpaceDN/>
        <w:bidi w:val="0"/>
        <w:adjustRightInd/>
        <w:snapToGrid/>
        <w:spacing w:line="560" w:lineRule="exact"/>
        <w:ind w:firstLine="640"/>
        <w:textAlignment w:val="auto"/>
        <w:rPr>
          <w:color w:val="auto"/>
        </w:rPr>
      </w:pPr>
      <w:r>
        <w:rPr>
          <w:color w:val="auto"/>
        </w:rPr>
        <w:t>信息的封存期限为5年，特殊情形除外</w:t>
      </w:r>
      <w:r>
        <w:rPr>
          <w:rFonts w:hint="eastAsia"/>
          <w:color w:val="auto"/>
        </w:rPr>
        <w:t>。</w:t>
      </w:r>
    </w:p>
    <w:p>
      <w:pPr>
        <w:pStyle w:val="2"/>
        <w:pageBreakBefore w:val="0"/>
        <w:numPr>
          <w:ilvl w:val="0"/>
          <w:numId w:val="1"/>
        </w:numPr>
        <w:kinsoku/>
        <w:wordWrap/>
        <w:overflowPunct/>
        <w:topLinePunct w:val="0"/>
        <w:autoSpaceDE/>
        <w:autoSpaceDN/>
        <w:bidi w:val="0"/>
        <w:adjustRightInd/>
        <w:snapToGrid/>
        <w:spacing w:line="560" w:lineRule="exact"/>
        <w:textAlignment w:val="auto"/>
      </w:pPr>
      <w:r>
        <w:rPr>
          <w:rFonts w:hint="eastAsia"/>
        </w:rPr>
        <w:t>监督管理</w:t>
      </w:r>
    </w:p>
    <w:p>
      <w:pPr>
        <w:pStyle w:val="45"/>
        <w:pageBreakBefore w:val="0"/>
        <w:kinsoku/>
        <w:wordWrap/>
        <w:overflowPunct/>
        <w:topLinePunct w:val="0"/>
        <w:autoSpaceDE/>
        <w:autoSpaceDN/>
        <w:bidi w:val="0"/>
        <w:adjustRightInd/>
        <w:snapToGrid/>
        <w:spacing w:line="560" w:lineRule="exact"/>
        <w:ind w:firstLine="640"/>
        <w:textAlignment w:val="auto"/>
        <w:rPr>
          <w:color w:val="auto"/>
        </w:rPr>
      </w:pPr>
      <w:r>
        <w:rPr>
          <w:rFonts w:hint="eastAsia"/>
          <w:color w:val="auto"/>
        </w:rPr>
        <w:t>四川能源监管办按照本办法对市场成员的信息披露行为进行监管。四川能源监管办可以要求市场成员对有关信息披露问题作出解释、说明或者提供相关资料。市场成员应当在</w:t>
      </w:r>
      <w:r>
        <w:rPr>
          <w:color w:val="auto"/>
        </w:rPr>
        <w:t>2</w:t>
      </w:r>
      <w:r>
        <w:rPr>
          <w:rFonts w:hint="eastAsia"/>
          <w:color w:val="auto"/>
        </w:rPr>
        <w:t>个工作日内作出回复，如实提供有关文件、资料，并配合四川能源监管办的检查、调查。</w:t>
      </w:r>
    </w:p>
    <w:p>
      <w:pPr>
        <w:pStyle w:val="45"/>
        <w:pageBreakBefore w:val="0"/>
        <w:kinsoku/>
        <w:wordWrap/>
        <w:overflowPunct/>
        <w:topLinePunct w:val="0"/>
        <w:autoSpaceDE/>
        <w:autoSpaceDN/>
        <w:bidi w:val="0"/>
        <w:adjustRightInd/>
        <w:snapToGrid/>
        <w:spacing w:line="560" w:lineRule="exact"/>
        <w:ind w:firstLine="640"/>
        <w:textAlignment w:val="auto"/>
        <w:rPr>
          <w:color w:val="auto"/>
        </w:rPr>
      </w:pPr>
      <w:r>
        <w:rPr>
          <w:rFonts w:hint="eastAsia"/>
          <w:color w:val="auto"/>
        </w:rPr>
        <w:t>市场成员未按照本办法在规定期限内履行信息披露义务，或者所披露的信息有虚假记载、误导性陈述或者重大遗漏、市场成员泄露影响公平竞争和涉及用户隐私的相关信息的，由四川能源监管办依法采取监管谈话、监管通报、责令改正、出具警示函、出具监管意见、记入诚信档案等监管措施，并依据《电力监管条例》等有关规定作出行政处罚。</w:t>
      </w:r>
    </w:p>
    <w:p>
      <w:pPr>
        <w:pStyle w:val="45"/>
        <w:pageBreakBefore w:val="0"/>
        <w:kinsoku/>
        <w:wordWrap/>
        <w:overflowPunct/>
        <w:topLinePunct w:val="0"/>
        <w:autoSpaceDE/>
        <w:autoSpaceDN/>
        <w:bidi w:val="0"/>
        <w:adjustRightInd/>
        <w:snapToGrid/>
        <w:spacing w:line="560" w:lineRule="exact"/>
        <w:ind w:firstLine="640"/>
        <w:textAlignment w:val="auto"/>
        <w:rPr>
          <w:color w:val="auto"/>
        </w:rPr>
      </w:pPr>
      <w:bookmarkStart w:id="6" w:name="_Hlk88146604"/>
      <w:r>
        <w:rPr>
          <w:rFonts w:hint="eastAsia"/>
          <w:color w:val="auto"/>
        </w:rPr>
        <w:t>四川能源监管办每</w:t>
      </w:r>
      <w:r>
        <w:rPr>
          <w:color w:val="auto"/>
        </w:rPr>
        <w:t>年</w:t>
      </w:r>
      <w:r>
        <w:rPr>
          <w:rFonts w:hint="eastAsia"/>
          <w:color w:val="auto"/>
        </w:rPr>
        <w:t>组织专业机构对信息披露总</w:t>
      </w:r>
      <w:r>
        <w:rPr>
          <w:color w:val="auto"/>
        </w:rPr>
        <w:t>体情况作出评价，</w:t>
      </w:r>
      <w:bookmarkEnd w:id="6"/>
      <w:r>
        <w:rPr>
          <w:color w:val="auto"/>
        </w:rPr>
        <w:t>从信息披露的有效性、易于使用性和保密性等方面对信息披露情况进行分析，将评价结果向所有市场成员公布，并抄送</w:t>
      </w:r>
      <w:r>
        <w:rPr>
          <w:rFonts w:hint="eastAsia"/>
          <w:color w:val="auto"/>
        </w:rPr>
        <w:t>省</w:t>
      </w:r>
      <w:r>
        <w:rPr>
          <w:color w:val="auto"/>
        </w:rPr>
        <w:t>政府电力管理等部门。</w:t>
      </w:r>
    </w:p>
    <w:p>
      <w:pPr>
        <w:pStyle w:val="2"/>
        <w:pageBreakBefore w:val="0"/>
        <w:numPr>
          <w:ilvl w:val="0"/>
          <w:numId w:val="1"/>
        </w:numPr>
        <w:kinsoku/>
        <w:wordWrap/>
        <w:overflowPunct/>
        <w:topLinePunct w:val="0"/>
        <w:autoSpaceDE/>
        <w:autoSpaceDN/>
        <w:bidi w:val="0"/>
        <w:adjustRightInd/>
        <w:snapToGrid/>
        <w:spacing w:line="560" w:lineRule="exact"/>
        <w:textAlignment w:val="auto"/>
      </w:pPr>
      <w:r>
        <w:rPr>
          <w:rFonts w:hint="eastAsia"/>
        </w:rPr>
        <w:t>争议处理</w:t>
      </w:r>
    </w:p>
    <w:p>
      <w:pPr>
        <w:pStyle w:val="45"/>
        <w:pageBreakBefore w:val="0"/>
        <w:kinsoku/>
        <w:wordWrap/>
        <w:overflowPunct/>
        <w:topLinePunct w:val="0"/>
        <w:autoSpaceDE/>
        <w:autoSpaceDN/>
        <w:bidi w:val="0"/>
        <w:adjustRightInd/>
        <w:snapToGrid/>
        <w:spacing w:line="560" w:lineRule="exact"/>
        <w:ind w:firstLine="640"/>
        <w:textAlignment w:val="auto"/>
        <w:rPr>
          <w:color w:val="auto"/>
        </w:rPr>
      </w:pPr>
      <w:bookmarkStart w:id="7" w:name="_Hlk88153545"/>
      <w:r>
        <w:rPr>
          <w:rFonts w:hint="eastAsia"/>
          <w:color w:val="auto"/>
        </w:rPr>
        <w:t>市场主体对披露的信息内容、时限等有异议或者疑问，可向电力交易机构提出，由电力交易机构责成信息披露主体予以解释及配合。</w:t>
      </w:r>
    </w:p>
    <w:bookmarkEnd w:id="7"/>
    <w:p>
      <w:pPr>
        <w:pStyle w:val="45"/>
        <w:pageBreakBefore w:val="0"/>
        <w:kinsoku/>
        <w:wordWrap/>
        <w:overflowPunct/>
        <w:topLinePunct w:val="0"/>
        <w:autoSpaceDE/>
        <w:autoSpaceDN/>
        <w:bidi w:val="0"/>
        <w:adjustRightInd/>
        <w:snapToGrid/>
        <w:spacing w:line="560" w:lineRule="exact"/>
        <w:ind w:firstLine="640"/>
        <w:textAlignment w:val="auto"/>
        <w:rPr>
          <w:color w:val="auto"/>
        </w:rPr>
      </w:pPr>
      <w:r>
        <w:rPr>
          <w:rFonts w:hint="eastAsia"/>
          <w:color w:val="auto"/>
        </w:rPr>
        <w:t>市场成员因信息披露发生争议时，由四川能源监管办依法进行协调和处理。</w:t>
      </w:r>
    </w:p>
    <w:p>
      <w:pPr>
        <w:pStyle w:val="45"/>
        <w:pageBreakBefore w:val="0"/>
        <w:kinsoku/>
        <w:wordWrap/>
        <w:overflowPunct/>
        <w:topLinePunct w:val="0"/>
        <w:autoSpaceDE/>
        <w:autoSpaceDN/>
        <w:bidi w:val="0"/>
        <w:adjustRightInd/>
        <w:snapToGrid/>
        <w:spacing w:line="560" w:lineRule="exact"/>
        <w:ind w:firstLine="640"/>
        <w:textAlignment w:val="auto"/>
        <w:rPr>
          <w:color w:val="auto"/>
        </w:rPr>
      </w:pPr>
      <w:r>
        <w:rPr>
          <w:rFonts w:hint="eastAsia"/>
          <w:color w:val="auto"/>
        </w:rPr>
        <w:t>四川能源监管办按照下列程序处理有关争议：</w:t>
      </w:r>
    </w:p>
    <w:p>
      <w:pPr>
        <w:pageBreakBefore w:val="0"/>
        <w:kinsoku/>
        <w:wordWrap/>
        <w:overflowPunct/>
        <w:topLinePunct w:val="0"/>
        <w:autoSpaceDE/>
        <w:autoSpaceDN/>
        <w:bidi w:val="0"/>
        <w:adjustRightInd/>
        <w:snapToGrid/>
        <w:spacing w:line="560" w:lineRule="exact"/>
        <w:ind w:firstLine="640"/>
        <w:textAlignment w:val="auto"/>
      </w:pPr>
      <w:r>
        <w:rPr>
          <w:rFonts w:hint="eastAsia"/>
        </w:rPr>
        <w:t>（一）争议方应向四川能源监管办提出争议处理申请，说明事实、理由及依据。</w:t>
      </w:r>
    </w:p>
    <w:p>
      <w:pPr>
        <w:pageBreakBefore w:val="0"/>
        <w:kinsoku/>
        <w:wordWrap/>
        <w:overflowPunct/>
        <w:topLinePunct w:val="0"/>
        <w:autoSpaceDE/>
        <w:autoSpaceDN/>
        <w:bidi w:val="0"/>
        <w:adjustRightInd/>
        <w:snapToGrid/>
        <w:spacing w:line="560" w:lineRule="exact"/>
        <w:ind w:firstLine="640"/>
        <w:textAlignment w:val="auto"/>
      </w:pPr>
      <w:r>
        <w:rPr>
          <w:rFonts w:hint="eastAsia"/>
        </w:rPr>
        <w:t>（二）依照本办法属于监管范围的争议，四川能源监管办应当受理；不属于监管范围的争议，不予受理并说明理由。</w:t>
      </w:r>
    </w:p>
    <w:p>
      <w:pPr>
        <w:pageBreakBefore w:val="0"/>
        <w:kinsoku/>
        <w:wordWrap/>
        <w:overflowPunct/>
        <w:topLinePunct w:val="0"/>
        <w:autoSpaceDE/>
        <w:autoSpaceDN/>
        <w:bidi w:val="0"/>
        <w:adjustRightInd/>
        <w:snapToGrid/>
        <w:spacing w:line="560" w:lineRule="exact"/>
        <w:ind w:firstLine="640"/>
        <w:textAlignment w:val="auto"/>
      </w:pPr>
      <w:r>
        <w:rPr>
          <w:rFonts w:hint="eastAsia"/>
        </w:rPr>
        <w:t>（三）四川能源监管办受理后，可以进行调查取证。必要时，可聘请与争议各方无利害关系的专家或第三方机构参加调查取证。</w:t>
      </w:r>
    </w:p>
    <w:p>
      <w:pPr>
        <w:pageBreakBefore w:val="0"/>
        <w:kinsoku/>
        <w:wordWrap/>
        <w:overflowPunct/>
        <w:topLinePunct w:val="0"/>
        <w:autoSpaceDE/>
        <w:autoSpaceDN/>
        <w:bidi w:val="0"/>
        <w:adjustRightInd/>
        <w:snapToGrid/>
        <w:spacing w:line="560" w:lineRule="exact"/>
        <w:ind w:firstLine="640"/>
        <w:textAlignment w:val="auto"/>
      </w:pPr>
      <w:r>
        <w:rPr>
          <w:rFonts w:hint="eastAsia"/>
        </w:rPr>
        <w:t>（四）四川能源监管办应于受理争议申请30日内，召集争议方进行协商处理，责令过错方纠正过错行为，积极促使争议各方互相谅解。</w:t>
      </w:r>
    </w:p>
    <w:p>
      <w:pPr>
        <w:pageBreakBefore w:val="0"/>
        <w:kinsoku/>
        <w:wordWrap/>
        <w:overflowPunct/>
        <w:topLinePunct w:val="0"/>
        <w:autoSpaceDE/>
        <w:autoSpaceDN/>
        <w:bidi w:val="0"/>
        <w:adjustRightInd/>
        <w:snapToGrid/>
        <w:spacing w:line="560" w:lineRule="exact"/>
        <w:ind w:firstLine="640"/>
        <w:textAlignment w:val="auto"/>
      </w:pPr>
      <w:r>
        <w:rPr>
          <w:rFonts w:hint="eastAsia"/>
        </w:rPr>
        <w:t>（五）若协商解决失败，争议方可以提交仲裁机关仲裁或提请司法诉讼。</w:t>
      </w:r>
    </w:p>
    <w:p>
      <w:pPr>
        <w:pStyle w:val="45"/>
        <w:pageBreakBefore w:val="0"/>
        <w:kinsoku/>
        <w:wordWrap/>
        <w:overflowPunct/>
        <w:topLinePunct w:val="0"/>
        <w:autoSpaceDE/>
        <w:autoSpaceDN/>
        <w:bidi w:val="0"/>
        <w:adjustRightInd/>
        <w:snapToGrid/>
        <w:spacing w:line="560" w:lineRule="exact"/>
        <w:ind w:firstLine="640"/>
        <w:textAlignment w:val="auto"/>
        <w:rPr>
          <w:color w:val="auto"/>
        </w:rPr>
      </w:pPr>
      <w:r>
        <w:rPr>
          <w:rFonts w:hint="eastAsia"/>
          <w:color w:val="auto"/>
        </w:rPr>
        <w:t>四川能源监管办协调和处理争议，应当自受理之日起</w:t>
      </w:r>
      <w:r>
        <w:rPr>
          <w:color w:val="auto"/>
        </w:rPr>
        <w:t>2</w:t>
      </w:r>
      <w:r>
        <w:rPr>
          <w:rFonts w:hint="eastAsia"/>
          <w:color w:val="auto"/>
        </w:rPr>
        <w:t>个月内终结。遇有特殊情况确需延长的，可以适当延长，但延长期不得超过</w:t>
      </w:r>
      <w:r>
        <w:rPr>
          <w:color w:val="auto"/>
        </w:rPr>
        <w:t>1</w:t>
      </w:r>
      <w:r>
        <w:rPr>
          <w:rFonts w:hint="eastAsia"/>
          <w:color w:val="auto"/>
        </w:rPr>
        <w:t>个月。协调和处理终结后，应当制作协调处理终结书。</w:t>
      </w:r>
    </w:p>
    <w:p>
      <w:pPr>
        <w:pStyle w:val="2"/>
        <w:pageBreakBefore w:val="0"/>
        <w:numPr>
          <w:ilvl w:val="0"/>
          <w:numId w:val="1"/>
        </w:numPr>
        <w:kinsoku/>
        <w:wordWrap/>
        <w:overflowPunct/>
        <w:topLinePunct w:val="0"/>
        <w:autoSpaceDE/>
        <w:autoSpaceDN/>
        <w:bidi w:val="0"/>
        <w:adjustRightInd/>
        <w:snapToGrid/>
        <w:spacing w:line="560" w:lineRule="exact"/>
        <w:textAlignment w:val="auto"/>
      </w:pPr>
      <w:r>
        <w:rPr>
          <w:rFonts w:hint="eastAsia"/>
        </w:rPr>
        <w:t>附则</w:t>
      </w:r>
    </w:p>
    <w:p>
      <w:pPr>
        <w:pStyle w:val="45"/>
        <w:pageBreakBefore w:val="0"/>
        <w:kinsoku/>
        <w:wordWrap/>
        <w:overflowPunct/>
        <w:topLinePunct w:val="0"/>
        <w:autoSpaceDE/>
        <w:autoSpaceDN/>
        <w:bidi w:val="0"/>
        <w:adjustRightInd/>
        <w:snapToGrid/>
        <w:spacing w:line="560" w:lineRule="exact"/>
        <w:ind w:firstLine="640"/>
        <w:textAlignment w:val="auto"/>
        <w:rPr>
          <w:color w:val="auto"/>
        </w:rPr>
      </w:pPr>
      <w:r>
        <w:rPr>
          <w:rFonts w:hint="eastAsia"/>
          <w:color w:val="auto"/>
        </w:rPr>
        <w:t>本办法由四川省能源监管办负责解释。</w:t>
      </w:r>
    </w:p>
    <w:p>
      <w:pPr>
        <w:pStyle w:val="45"/>
        <w:pageBreakBefore w:val="0"/>
        <w:kinsoku/>
        <w:wordWrap/>
        <w:overflowPunct/>
        <w:topLinePunct w:val="0"/>
        <w:autoSpaceDE/>
        <w:autoSpaceDN/>
        <w:bidi w:val="0"/>
        <w:adjustRightInd/>
        <w:snapToGrid/>
        <w:spacing w:line="560" w:lineRule="exact"/>
        <w:ind w:firstLine="640"/>
        <w:textAlignment w:val="auto"/>
      </w:pPr>
      <w:r>
        <w:rPr>
          <w:rFonts w:hint="eastAsia"/>
          <w:color w:val="auto"/>
        </w:rPr>
        <w:t>本办法自发布之日起施行，</w:t>
      </w:r>
      <w:r>
        <w:rPr>
          <w:rFonts w:hint="eastAsia" w:ascii="仿宋_GB2312" w:hAnsi="仿宋_GB2312" w:cs="仿宋_GB2312"/>
          <w:szCs w:val="32"/>
        </w:rPr>
        <w:t>《四川电力市场信息披露管理办法》（川监能市场</w:t>
      </w:r>
      <w:r>
        <w:rPr>
          <w:color w:val="auto"/>
        </w:rPr>
        <w:t>〔201</w:t>
      </w:r>
      <w:r>
        <w:rPr>
          <w:rFonts w:hint="eastAsia"/>
          <w:color w:val="auto"/>
        </w:rPr>
        <w:t>7</w:t>
      </w:r>
      <w:r>
        <w:rPr>
          <w:color w:val="auto"/>
        </w:rPr>
        <w:t>〕</w:t>
      </w:r>
      <w:r>
        <w:rPr>
          <w:rFonts w:hint="eastAsia"/>
          <w:color w:val="auto"/>
        </w:rPr>
        <w:t>130号</w:t>
      </w:r>
      <w:r>
        <w:rPr>
          <w:rFonts w:hint="eastAsia" w:ascii="仿宋_GB2312" w:hAnsi="仿宋_GB2312" w:cs="仿宋_GB2312"/>
          <w:szCs w:val="32"/>
        </w:rPr>
        <w:t>）同时废止</w:t>
      </w:r>
      <w:r>
        <w:rPr>
          <w:rFonts w:hint="eastAsia" w:ascii="仿宋_GB2312" w:hAnsi="仿宋_GB2312" w:cs="仿宋_GB2312"/>
          <w:color w:val="auto"/>
          <w:szCs w:val="32"/>
        </w:rPr>
        <w:t>。</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39455072"/>
      <w:docPartObj>
        <w:docPartGallery w:val="autotext"/>
      </w:docPartObj>
    </w:sdtPr>
    <w:sdtContent>
      <w:p>
        <w:pPr>
          <w:pStyle w:val="14"/>
          <w:ind w:firstLine="360"/>
          <w:jc w:val="center"/>
        </w:pPr>
        <w:r>
          <w:fldChar w:fldCharType="begin"/>
        </w:r>
        <w:r>
          <w:instrText xml:space="preserve">PAGE   \* MERGEFORMAT</w:instrText>
        </w:r>
        <w:r>
          <w:fldChar w:fldCharType="separate"/>
        </w:r>
        <w:r>
          <w:rPr>
            <w:lang w:val="zh-CN"/>
          </w:rPr>
          <w:t>9</w:t>
        </w:r>
        <w:r>
          <w:fldChar w:fldCharType="end"/>
        </w:r>
      </w:p>
    </w:sdtContent>
  </w:sdt>
  <w:p>
    <w:pPr>
      <w:pStyle w:val="1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640"/>
      </w:pPr>
      <w:r>
        <w:separator/>
      </w:r>
    </w:p>
  </w:footnote>
  <w:footnote w:type="continuationSeparator" w:id="1">
    <w:p>
      <w:pPr>
        <w:spacing w:line="36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786029"/>
    <w:multiLevelType w:val="multilevel"/>
    <w:tmpl w:val="0A786029"/>
    <w:lvl w:ilvl="0" w:tentative="0">
      <w:start w:val="1"/>
      <w:numFmt w:val="chineseCountingThousand"/>
      <w:pStyle w:val="2"/>
      <w:suff w:val="space"/>
      <w:lvlText w:val="第%1章"/>
      <w:lvlJc w:val="left"/>
      <w:pPr>
        <w:ind w:left="0" w:firstLine="0"/>
      </w:pPr>
      <w:rPr>
        <w:rFonts w:hint="default" w:ascii="Times New Roman" w:hAnsi="Times New Roman" w:eastAsia="黑体"/>
      </w:rPr>
    </w:lvl>
    <w:lvl w:ilvl="1" w:tentative="0">
      <w:start w:val="1"/>
      <w:numFmt w:val="chineseCountingThousand"/>
      <w:pStyle w:val="3"/>
      <w:suff w:val="space"/>
      <w:lvlText w:val="第%2节"/>
      <w:lvlJc w:val="left"/>
      <w:pPr>
        <w:ind w:left="1418" w:firstLine="0"/>
      </w:pPr>
      <w:rPr>
        <w:rFonts w:hint="default" w:ascii="Times New Roman" w:hAnsi="Times New Roman" w:eastAsia="黑体"/>
      </w:rPr>
    </w:lvl>
    <w:lvl w:ilvl="2" w:tentative="0">
      <w:start w:val="1"/>
      <w:numFmt w:val="decimal"/>
      <w:suff w:val="space"/>
      <w:lvlText w:val="%1.%2.%3"/>
      <w:lvlJc w:val="left"/>
      <w:pPr>
        <w:ind w:left="0" w:firstLine="0"/>
      </w:pPr>
      <w:rPr>
        <w:rFonts w:hint="default" w:ascii="Times New Roman" w:hAnsi="Times New Roman" w:eastAsia="黑体"/>
      </w:rPr>
    </w:lvl>
    <w:lvl w:ilvl="3" w:tentative="0">
      <w:start w:val="1"/>
      <w:numFmt w:val="decimal"/>
      <w:suff w:val="space"/>
      <w:lvlText w:val="%1.%2.%3.%4"/>
      <w:lvlJc w:val="left"/>
      <w:pPr>
        <w:ind w:left="142" w:firstLine="0"/>
      </w:pPr>
      <w:rPr>
        <w:rFonts w:hint="default" w:ascii="Times New Roman" w:hAnsi="Times New Roman" w:eastAsia="黑体"/>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1">
    <w:nsid w:val="61997591"/>
    <w:multiLevelType w:val="multilevel"/>
    <w:tmpl w:val="61997591"/>
    <w:lvl w:ilvl="0" w:tentative="0">
      <w:start w:val="1"/>
      <w:numFmt w:val="chineseCountingThousand"/>
      <w:pStyle w:val="45"/>
      <w:lvlText w:val="第%1条"/>
      <w:lvlJc w:val="left"/>
      <w:pPr>
        <w:ind w:left="620" w:hanging="420"/>
      </w:pPr>
      <w:rPr>
        <w:rFonts w:hint="eastAsia" w:eastAsia="仿宋_GB2312"/>
        <w:b/>
        <w:i w:val="0"/>
        <w:color w:val="auto"/>
        <w:lang w:val="en-US"/>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4B1"/>
    <w:rsid w:val="000026B2"/>
    <w:rsid w:val="00002E24"/>
    <w:rsid w:val="00003538"/>
    <w:rsid w:val="00007148"/>
    <w:rsid w:val="00011E08"/>
    <w:rsid w:val="000127C8"/>
    <w:rsid w:val="00013A18"/>
    <w:rsid w:val="00015934"/>
    <w:rsid w:val="00037DDE"/>
    <w:rsid w:val="00040887"/>
    <w:rsid w:val="000445BE"/>
    <w:rsid w:val="00045991"/>
    <w:rsid w:val="000476CB"/>
    <w:rsid w:val="00047BC2"/>
    <w:rsid w:val="00051267"/>
    <w:rsid w:val="00056B38"/>
    <w:rsid w:val="00057680"/>
    <w:rsid w:val="0006114E"/>
    <w:rsid w:val="0006165B"/>
    <w:rsid w:val="000620A3"/>
    <w:rsid w:val="00064F9E"/>
    <w:rsid w:val="00065F93"/>
    <w:rsid w:val="00067BB5"/>
    <w:rsid w:val="00070524"/>
    <w:rsid w:val="00070D30"/>
    <w:rsid w:val="000744CC"/>
    <w:rsid w:val="00074717"/>
    <w:rsid w:val="00075B80"/>
    <w:rsid w:val="0007737A"/>
    <w:rsid w:val="00077D7F"/>
    <w:rsid w:val="000829EE"/>
    <w:rsid w:val="00085EBF"/>
    <w:rsid w:val="00091596"/>
    <w:rsid w:val="0009687A"/>
    <w:rsid w:val="000A0746"/>
    <w:rsid w:val="000A42DA"/>
    <w:rsid w:val="000A628D"/>
    <w:rsid w:val="000A6C42"/>
    <w:rsid w:val="000B0ED9"/>
    <w:rsid w:val="000B358E"/>
    <w:rsid w:val="000B5B2F"/>
    <w:rsid w:val="000C3F58"/>
    <w:rsid w:val="000C5680"/>
    <w:rsid w:val="000C79AA"/>
    <w:rsid w:val="000D0EE1"/>
    <w:rsid w:val="000D259A"/>
    <w:rsid w:val="000D36D5"/>
    <w:rsid w:val="000D52E2"/>
    <w:rsid w:val="000D7CE5"/>
    <w:rsid w:val="000E05F0"/>
    <w:rsid w:val="000E0CB0"/>
    <w:rsid w:val="000E13C4"/>
    <w:rsid w:val="000E6710"/>
    <w:rsid w:val="000F7164"/>
    <w:rsid w:val="00103585"/>
    <w:rsid w:val="001035F9"/>
    <w:rsid w:val="00110B58"/>
    <w:rsid w:val="00111399"/>
    <w:rsid w:val="00112376"/>
    <w:rsid w:val="0011506E"/>
    <w:rsid w:val="001155AC"/>
    <w:rsid w:val="0011714B"/>
    <w:rsid w:val="00117906"/>
    <w:rsid w:val="00120409"/>
    <w:rsid w:val="00123E1D"/>
    <w:rsid w:val="001257B3"/>
    <w:rsid w:val="00126956"/>
    <w:rsid w:val="00130EAB"/>
    <w:rsid w:val="001313D4"/>
    <w:rsid w:val="001331F8"/>
    <w:rsid w:val="00133F54"/>
    <w:rsid w:val="00134C06"/>
    <w:rsid w:val="0013715A"/>
    <w:rsid w:val="001403BA"/>
    <w:rsid w:val="001456C4"/>
    <w:rsid w:val="00152E90"/>
    <w:rsid w:val="00154D14"/>
    <w:rsid w:val="00154D49"/>
    <w:rsid w:val="00160BD3"/>
    <w:rsid w:val="00170062"/>
    <w:rsid w:val="0018016C"/>
    <w:rsid w:val="00184B9D"/>
    <w:rsid w:val="00184F58"/>
    <w:rsid w:val="001910A4"/>
    <w:rsid w:val="00191794"/>
    <w:rsid w:val="001951E5"/>
    <w:rsid w:val="001A08D2"/>
    <w:rsid w:val="001A1FA2"/>
    <w:rsid w:val="001A7A66"/>
    <w:rsid w:val="001B3CA3"/>
    <w:rsid w:val="001B6688"/>
    <w:rsid w:val="001C0430"/>
    <w:rsid w:val="001C13B9"/>
    <w:rsid w:val="001C5DC5"/>
    <w:rsid w:val="001D1ECC"/>
    <w:rsid w:val="001D50E6"/>
    <w:rsid w:val="001E0E24"/>
    <w:rsid w:val="001E4285"/>
    <w:rsid w:val="001E5D48"/>
    <w:rsid w:val="001E6A38"/>
    <w:rsid w:val="001E6DF1"/>
    <w:rsid w:val="001E7E81"/>
    <w:rsid w:val="002048F2"/>
    <w:rsid w:val="002067E7"/>
    <w:rsid w:val="00210C17"/>
    <w:rsid w:val="00211CF2"/>
    <w:rsid w:val="00216DC4"/>
    <w:rsid w:val="00222DF1"/>
    <w:rsid w:val="00222EDF"/>
    <w:rsid w:val="002402DA"/>
    <w:rsid w:val="00241A9B"/>
    <w:rsid w:val="00245AB8"/>
    <w:rsid w:val="00245DAB"/>
    <w:rsid w:val="00247DAE"/>
    <w:rsid w:val="00247FBC"/>
    <w:rsid w:val="00251CE0"/>
    <w:rsid w:val="002602DE"/>
    <w:rsid w:val="00267DA8"/>
    <w:rsid w:val="002718CB"/>
    <w:rsid w:val="002724FA"/>
    <w:rsid w:val="00275EFD"/>
    <w:rsid w:val="0027601E"/>
    <w:rsid w:val="0028172E"/>
    <w:rsid w:val="00281B69"/>
    <w:rsid w:val="0028269E"/>
    <w:rsid w:val="0028379C"/>
    <w:rsid w:val="0029066A"/>
    <w:rsid w:val="00295B55"/>
    <w:rsid w:val="0029634F"/>
    <w:rsid w:val="002A6350"/>
    <w:rsid w:val="002B0EAA"/>
    <w:rsid w:val="002B254A"/>
    <w:rsid w:val="002B291D"/>
    <w:rsid w:val="002B384C"/>
    <w:rsid w:val="002C1C15"/>
    <w:rsid w:val="002C2499"/>
    <w:rsid w:val="002C2B6E"/>
    <w:rsid w:val="002D6B25"/>
    <w:rsid w:val="002D6D4A"/>
    <w:rsid w:val="002E15D9"/>
    <w:rsid w:val="002E50F8"/>
    <w:rsid w:val="002E531E"/>
    <w:rsid w:val="002F0CEF"/>
    <w:rsid w:val="002F1863"/>
    <w:rsid w:val="002F3BFA"/>
    <w:rsid w:val="002F3D4A"/>
    <w:rsid w:val="002F4302"/>
    <w:rsid w:val="00300520"/>
    <w:rsid w:val="003017A5"/>
    <w:rsid w:val="003051BD"/>
    <w:rsid w:val="00305BD6"/>
    <w:rsid w:val="003104F2"/>
    <w:rsid w:val="00311523"/>
    <w:rsid w:val="00314196"/>
    <w:rsid w:val="00327E1B"/>
    <w:rsid w:val="00330BF5"/>
    <w:rsid w:val="00333992"/>
    <w:rsid w:val="003339C5"/>
    <w:rsid w:val="003350E7"/>
    <w:rsid w:val="003366A3"/>
    <w:rsid w:val="00336993"/>
    <w:rsid w:val="003369E4"/>
    <w:rsid w:val="00340B0C"/>
    <w:rsid w:val="00344EFD"/>
    <w:rsid w:val="00347415"/>
    <w:rsid w:val="00350C58"/>
    <w:rsid w:val="00352A76"/>
    <w:rsid w:val="0035441C"/>
    <w:rsid w:val="003555CD"/>
    <w:rsid w:val="00356A75"/>
    <w:rsid w:val="00356C0B"/>
    <w:rsid w:val="00360360"/>
    <w:rsid w:val="00361758"/>
    <w:rsid w:val="0037386D"/>
    <w:rsid w:val="0037612B"/>
    <w:rsid w:val="003761F2"/>
    <w:rsid w:val="0037734A"/>
    <w:rsid w:val="003812A6"/>
    <w:rsid w:val="003814CB"/>
    <w:rsid w:val="00384B9F"/>
    <w:rsid w:val="003867C1"/>
    <w:rsid w:val="00394DC5"/>
    <w:rsid w:val="0039515C"/>
    <w:rsid w:val="003959FC"/>
    <w:rsid w:val="003A0E3C"/>
    <w:rsid w:val="003A31D2"/>
    <w:rsid w:val="003A3294"/>
    <w:rsid w:val="003B0E4D"/>
    <w:rsid w:val="003B17B5"/>
    <w:rsid w:val="003B635D"/>
    <w:rsid w:val="003C00C8"/>
    <w:rsid w:val="003C2B0A"/>
    <w:rsid w:val="003C4A3D"/>
    <w:rsid w:val="003D19FF"/>
    <w:rsid w:val="003D24DE"/>
    <w:rsid w:val="003E260A"/>
    <w:rsid w:val="003E2668"/>
    <w:rsid w:val="003E3CE0"/>
    <w:rsid w:val="003E4755"/>
    <w:rsid w:val="003E6AD7"/>
    <w:rsid w:val="003E6EA9"/>
    <w:rsid w:val="003F097F"/>
    <w:rsid w:val="003F1364"/>
    <w:rsid w:val="00402B59"/>
    <w:rsid w:val="0040376C"/>
    <w:rsid w:val="004042EF"/>
    <w:rsid w:val="00415F26"/>
    <w:rsid w:val="004160BB"/>
    <w:rsid w:val="00416E00"/>
    <w:rsid w:val="00420D00"/>
    <w:rsid w:val="00423D65"/>
    <w:rsid w:val="0042709C"/>
    <w:rsid w:val="00427A46"/>
    <w:rsid w:val="00434EE5"/>
    <w:rsid w:val="004372F7"/>
    <w:rsid w:val="004373A7"/>
    <w:rsid w:val="00440572"/>
    <w:rsid w:val="0045344E"/>
    <w:rsid w:val="0046449A"/>
    <w:rsid w:val="00470D33"/>
    <w:rsid w:val="00472D9C"/>
    <w:rsid w:val="00473621"/>
    <w:rsid w:val="004739E8"/>
    <w:rsid w:val="00474CC2"/>
    <w:rsid w:val="004750B3"/>
    <w:rsid w:val="00476494"/>
    <w:rsid w:val="004779E0"/>
    <w:rsid w:val="00493940"/>
    <w:rsid w:val="00495517"/>
    <w:rsid w:val="00495A0E"/>
    <w:rsid w:val="0049654C"/>
    <w:rsid w:val="004A3328"/>
    <w:rsid w:val="004A6025"/>
    <w:rsid w:val="004B31AF"/>
    <w:rsid w:val="004B39CF"/>
    <w:rsid w:val="004C12A8"/>
    <w:rsid w:val="004C2681"/>
    <w:rsid w:val="004C2F26"/>
    <w:rsid w:val="004C41D8"/>
    <w:rsid w:val="004D0175"/>
    <w:rsid w:val="004D287F"/>
    <w:rsid w:val="004D55DF"/>
    <w:rsid w:val="004D59DB"/>
    <w:rsid w:val="004D6C8D"/>
    <w:rsid w:val="004E2698"/>
    <w:rsid w:val="004E2CCD"/>
    <w:rsid w:val="004E3A44"/>
    <w:rsid w:val="004E4B48"/>
    <w:rsid w:val="004F07F1"/>
    <w:rsid w:val="00500872"/>
    <w:rsid w:val="00502140"/>
    <w:rsid w:val="005051E8"/>
    <w:rsid w:val="005074FB"/>
    <w:rsid w:val="0050769D"/>
    <w:rsid w:val="00510AEA"/>
    <w:rsid w:val="00513BC7"/>
    <w:rsid w:val="005150DE"/>
    <w:rsid w:val="00520D50"/>
    <w:rsid w:val="005225E9"/>
    <w:rsid w:val="00530194"/>
    <w:rsid w:val="00531CBD"/>
    <w:rsid w:val="00532B5E"/>
    <w:rsid w:val="00535273"/>
    <w:rsid w:val="005446BA"/>
    <w:rsid w:val="0054723A"/>
    <w:rsid w:val="00553ED9"/>
    <w:rsid w:val="00557945"/>
    <w:rsid w:val="005678F2"/>
    <w:rsid w:val="00567A41"/>
    <w:rsid w:val="005737BE"/>
    <w:rsid w:val="00577318"/>
    <w:rsid w:val="00580EA2"/>
    <w:rsid w:val="00585761"/>
    <w:rsid w:val="00591318"/>
    <w:rsid w:val="00593E0C"/>
    <w:rsid w:val="005979C2"/>
    <w:rsid w:val="005A1BFF"/>
    <w:rsid w:val="005B55B8"/>
    <w:rsid w:val="005C06C3"/>
    <w:rsid w:val="005C1C3F"/>
    <w:rsid w:val="005C4557"/>
    <w:rsid w:val="005C4EE8"/>
    <w:rsid w:val="005C7C13"/>
    <w:rsid w:val="005D007E"/>
    <w:rsid w:val="005D4DB1"/>
    <w:rsid w:val="005D6EE5"/>
    <w:rsid w:val="005D7274"/>
    <w:rsid w:val="005E2656"/>
    <w:rsid w:val="005E30CD"/>
    <w:rsid w:val="005F2D41"/>
    <w:rsid w:val="005F3745"/>
    <w:rsid w:val="005F67F9"/>
    <w:rsid w:val="00601D92"/>
    <w:rsid w:val="00607342"/>
    <w:rsid w:val="006124AE"/>
    <w:rsid w:val="00615F22"/>
    <w:rsid w:val="00616E31"/>
    <w:rsid w:val="00620328"/>
    <w:rsid w:val="00622097"/>
    <w:rsid w:val="00622A4D"/>
    <w:rsid w:val="00624560"/>
    <w:rsid w:val="00626810"/>
    <w:rsid w:val="00631B75"/>
    <w:rsid w:val="0064003D"/>
    <w:rsid w:val="006419EB"/>
    <w:rsid w:val="006455F2"/>
    <w:rsid w:val="006551D8"/>
    <w:rsid w:val="0066268D"/>
    <w:rsid w:val="00663C8D"/>
    <w:rsid w:val="00666E92"/>
    <w:rsid w:val="00672252"/>
    <w:rsid w:val="00673DF1"/>
    <w:rsid w:val="006744FF"/>
    <w:rsid w:val="00675855"/>
    <w:rsid w:val="006779EB"/>
    <w:rsid w:val="006828C5"/>
    <w:rsid w:val="00684115"/>
    <w:rsid w:val="0068548F"/>
    <w:rsid w:val="006918A6"/>
    <w:rsid w:val="00696E72"/>
    <w:rsid w:val="006A03F5"/>
    <w:rsid w:val="006A2E50"/>
    <w:rsid w:val="006A3A64"/>
    <w:rsid w:val="006A5FC1"/>
    <w:rsid w:val="006A66C0"/>
    <w:rsid w:val="006A6CC0"/>
    <w:rsid w:val="006B1FC8"/>
    <w:rsid w:val="006B2555"/>
    <w:rsid w:val="006B48AA"/>
    <w:rsid w:val="006B5964"/>
    <w:rsid w:val="006B64E6"/>
    <w:rsid w:val="006C27EF"/>
    <w:rsid w:val="006D3BFC"/>
    <w:rsid w:val="006E001B"/>
    <w:rsid w:val="006E374A"/>
    <w:rsid w:val="006E568A"/>
    <w:rsid w:val="006E5F16"/>
    <w:rsid w:val="006E6CC0"/>
    <w:rsid w:val="006F4039"/>
    <w:rsid w:val="006F415D"/>
    <w:rsid w:val="006F47C6"/>
    <w:rsid w:val="006F4ABA"/>
    <w:rsid w:val="006F5213"/>
    <w:rsid w:val="006F59CF"/>
    <w:rsid w:val="00703D59"/>
    <w:rsid w:val="00704203"/>
    <w:rsid w:val="0070497F"/>
    <w:rsid w:val="00704F6C"/>
    <w:rsid w:val="007109F9"/>
    <w:rsid w:val="00712692"/>
    <w:rsid w:val="00714439"/>
    <w:rsid w:val="0071586F"/>
    <w:rsid w:val="0071697E"/>
    <w:rsid w:val="00723D8B"/>
    <w:rsid w:val="0073184A"/>
    <w:rsid w:val="00734FFA"/>
    <w:rsid w:val="0073720F"/>
    <w:rsid w:val="00737861"/>
    <w:rsid w:val="007402BB"/>
    <w:rsid w:val="007428C6"/>
    <w:rsid w:val="00744BF2"/>
    <w:rsid w:val="007510DB"/>
    <w:rsid w:val="00751BE3"/>
    <w:rsid w:val="007528F9"/>
    <w:rsid w:val="00752CD9"/>
    <w:rsid w:val="00753A35"/>
    <w:rsid w:val="00754C15"/>
    <w:rsid w:val="00754CE1"/>
    <w:rsid w:val="00757828"/>
    <w:rsid w:val="00757937"/>
    <w:rsid w:val="00762425"/>
    <w:rsid w:val="00770FB0"/>
    <w:rsid w:val="0077253D"/>
    <w:rsid w:val="007749C2"/>
    <w:rsid w:val="0078047E"/>
    <w:rsid w:val="007853DB"/>
    <w:rsid w:val="0078750B"/>
    <w:rsid w:val="00793A9B"/>
    <w:rsid w:val="00795574"/>
    <w:rsid w:val="00796D35"/>
    <w:rsid w:val="007A0261"/>
    <w:rsid w:val="007A0D19"/>
    <w:rsid w:val="007A1946"/>
    <w:rsid w:val="007A2BA9"/>
    <w:rsid w:val="007A2CF8"/>
    <w:rsid w:val="007A711A"/>
    <w:rsid w:val="007C03F7"/>
    <w:rsid w:val="007C0E91"/>
    <w:rsid w:val="007C405C"/>
    <w:rsid w:val="007C4852"/>
    <w:rsid w:val="007C495C"/>
    <w:rsid w:val="007D2609"/>
    <w:rsid w:val="007D395C"/>
    <w:rsid w:val="007D51C8"/>
    <w:rsid w:val="007D59DE"/>
    <w:rsid w:val="007E0455"/>
    <w:rsid w:val="007E5990"/>
    <w:rsid w:val="007E6CA9"/>
    <w:rsid w:val="007E7DF8"/>
    <w:rsid w:val="007F0C28"/>
    <w:rsid w:val="007F1CD0"/>
    <w:rsid w:val="007F36E0"/>
    <w:rsid w:val="007F5276"/>
    <w:rsid w:val="0080233D"/>
    <w:rsid w:val="00807D89"/>
    <w:rsid w:val="00816DC6"/>
    <w:rsid w:val="0081735C"/>
    <w:rsid w:val="00822382"/>
    <w:rsid w:val="00826712"/>
    <w:rsid w:val="00835435"/>
    <w:rsid w:val="00836E55"/>
    <w:rsid w:val="0084033B"/>
    <w:rsid w:val="008419D6"/>
    <w:rsid w:val="0085070B"/>
    <w:rsid w:val="00855444"/>
    <w:rsid w:val="008571B0"/>
    <w:rsid w:val="008616B5"/>
    <w:rsid w:val="00865DD7"/>
    <w:rsid w:val="008667FF"/>
    <w:rsid w:val="00867CF8"/>
    <w:rsid w:val="00870CD9"/>
    <w:rsid w:val="00875D7C"/>
    <w:rsid w:val="008760FD"/>
    <w:rsid w:val="008765EF"/>
    <w:rsid w:val="008772AA"/>
    <w:rsid w:val="00880E8F"/>
    <w:rsid w:val="00895F31"/>
    <w:rsid w:val="008A1012"/>
    <w:rsid w:val="008A7359"/>
    <w:rsid w:val="008B41CE"/>
    <w:rsid w:val="008B5BD9"/>
    <w:rsid w:val="008C2931"/>
    <w:rsid w:val="008C671D"/>
    <w:rsid w:val="008C69DC"/>
    <w:rsid w:val="008D0F73"/>
    <w:rsid w:val="008D3EA4"/>
    <w:rsid w:val="008E40D1"/>
    <w:rsid w:val="008E6E46"/>
    <w:rsid w:val="008E7204"/>
    <w:rsid w:val="008E7885"/>
    <w:rsid w:val="008F034F"/>
    <w:rsid w:val="008F3FB2"/>
    <w:rsid w:val="008F5711"/>
    <w:rsid w:val="008F6630"/>
    <w:rsid w:val="00900982"/>
    <w:rsid w:val="00901F99"/>
    <w:rsid w:val="009040DA"/>
    <w:rsid w:val="009118AB"/>
    <w:rsid w:val="00917C72"/>
    <w:rsid w:val="0092269A"/>
    <w:rsid w:val="00922E12"/>
    <w:rsid w:val="00922E61"/>
    <w:rsid w:val="00924380"/>
    <w:rsid w:val="009269F5"/>
    <w:rsid w:val="00927C5C"/>
    <w:rsid w:val="009332FE"/>
    <w:rsid w:val="00934323"/>
    <w:rsid w:val="009346F7"/>
    <w:rsid w:val="00937B3C"/>
    <w:rsid w:val="00942F13"/>
    <w:rsid w:val="009457A8"/>
    <w:rsid w:val="009544BA"/>
    <w:rsid w:val="00957EC5"/>
    <w:rsid w:val="009621C8"/>
    <w:rsid w:val="00966E67"/>
    <w:rsid w:val="00970512"/>
    <w:rsid w:val="0097128B"/>
    <w:rsid w:val="0097239D"/>
    <w:rsid w:val="00976BA9"/>
    <w:rsid w:val="009808F8"/>
    <w:rsid w:val="0098264A"/>
    <w:rsid w:val="00983133"/>
    <w:rsid w:val="00984D42"/>
    <w:rsid w:val="009865AC"/>
    <w:rsid w:val="00986A43"/>
    <w:rsid w:val="00991E81"/>
    <w:rsid w:val="00997041"/>
    <w:rsid w:val="009A48DC"/>
    <w:rsid w:val="009A6412"/>
    <w:rsid w:val="009B10D0"/>
    <w:rsid w:val="009B2A62"/>
    <w:rsid w:val="009C61B1"/>
    <w:rsid w:val="009D0C03"/>
    <w:rsid w:val="009D2238"/>
    <w:rsid w:val="009D23FB"/>
    <w:rsid w:val="009D3FF8"/>
    <w:rsid w:val="009D51A0"/>
    <w:rsid w:val="009D7AAE"/>
    <w:rsid w:val="009D7BF1"/>
    <w:rsid w:val="009D7E1B"/>
    <w:rsid w:val="009E3F82"/>
    <w:rsid w:val="009F1E35"/>
    <w:rsid w:val="009F3552"/>
    <w:rsid w:val="009F6A0A"/>
    <w:rsid w:val="009F7C45"/>
    <w:rsid w:val="00A00FD7"/>
    <w:rsid w:val="00A050DB"/>
    <w:rsid w:val="00A05F43"/>
    <w:rsid w:val="00A14C2C"/>
    <w:rsid w:val="00A22D7E"/>
    <w:rsid w:val="00A32204"/>
    <w:rsid w:val="00A334F9"/>
    <w:rsid w:val="00A37D93"/>
    <w:rsid w:val="00A44AA9"/>
    <w:rsid w:val="00A44D01"/>
    <w:rsid w:val="00A46BB8"/>
    <w:rsid w:val="00A47478"/>
    <w:rsid w:val="00A54BC1"/>
    <w:rsid w:val="00A676B1"/>
    <w:rsid w:val="00A67A02"/>
    <w:rsid w:val="00A67A38"/>
    <w:rsid w:val="00A712A8"/>
    <w:rsid w:val="00A75E7A"/>
    <w:rsid w:val="00A7687C"/>
    <w:rsid w:val="00A7786A"/>
    <w:rsid w:val="00A825AF"/>
    <w:rsid w:val="00A87AE9"/>
    <w:rsid w:val="00AA1EB8"/>
    <w:rsid w:val="00AA7A54"/>
    <w:rsid w:val="00AB0133"/>
    <w:rsid w:val="00AB312F"/>
    <w:rsid w:val="00AB3E16"/>
    <w:rsid w:val="00AC0516"/>
    <w:rsid w:val="00AC307E"/>
    <w:rsid w:val="00AC50BC"/>
    <w:rsid w:val="00AD1CCB"/>
    <w:rsid w:val="00AD2441"/>
    <w:rsid w:val="00AD4575"/>
    <w:rsid w:val="00AD695C"/>
    <w:rsid w:val="00AE3958"/>
    <w:rsid w:val="00AE6CEB"/>
    <w:rsid w:val="00AF22C2"/>
    <w:rsid w:val="00AF34B1"/>
    <w:rsid w:val="00B0141D"/>
    <w:rsid w:val="00B01A8D"/>
    <w:rsid w:val="00B037E5"/>
    <w:rsid w:val="00B147A2"/>
    <w:rsid w:val="00B14806"/>
    <w:rsid w:val="00B22D65"/>
    <w:rsid w:val="00B240ED"/>
    <w:rsid w:val="00B3426A"/>
    <w:rsid w:val="00B34FA6"/>
    <w:rsid w:val="00B41041"/>
    <w:rsid w:val="00B41D26"/>
    <w:rsid w:val="00B43410"/>
    <w:rsid w:val="00B471DE"/>
    <w:rsid w:val="00B5401D"/>
    <w:rsid w:val="00B5572A"/>
    <w:rsid w:val="00B61D14"/>
    <w:rsid w:val="00B65683"/>
    <w:rsid w:val="00B67C90"/>
    <w:rsid w:val="00B70A60"/>
    <w:rsid w:val="00B7377D"/>
    <w:rsid w:val="00B7489D"/>
    <w:rsid w:val="00B772C2"/>
    <w:rsid w:val="00B8589C"/>
    <w:rsid w:val="00B86D96"/>
    <w:rsid w:val="00B97569"/>
    <w:rsid w:val="00B97DA8"/>
    <w:rsid w:val="00BA20A4"/>
    <w:rsid w:val="00BA2801"/>
    <w:rsid w:val="00BA59E0"/>
    <w:rsid w:val="00BA742F"/>
    <w:rsid w:val="00BB0F8B"/>
    <w:rsid w:val="00BB1862"/>
    <w:rsid w:val="00BB54A2"/>
    <w:rsid w:val="00BB6F78"/>
    <w:rsid w:val="00BC337A"/>
    <w:rsid w:val="00BD1D3C"/>
    <w:rsid w:val="00BD31D1"/>
    <w:rsid w:val="00BD6D57"/>
    <w:rsid w:val="00BE111F"/>
    <w:rsid w:val="00BE3AF0"/>
    <w:rsid w:val="00BE3C6F"/>
    <w:rsid w:val="00BF04A0"/>
    <w:rsid w:val="00BF348A"/>
    <w:rsid w:val="00BF7340"/>
    <w:rsid w:val="00C01227"/>
    <w:rsid w:val="00C01879"/>
    <w:rsid w:val="00C03BED"/>
    <w:rsid w:val="00C06A3E"/>
    <w:rsid w:val="00C10255"/>
    <w:rsid w:val="00C113A4"/>
    <w:rsid w:val="00C12D6E"/>
    <w:rsid w:val="00C137B0"/>
    <w:rsid w:val="00C23301"/>
    <w:rsid w:val="00C2330F"/>
    <w:rsid w:val="00C261E7"/>
    <w:rsid w:val="00C34CF3"/>
    <w:rsid w:val="00C354E0"/>
    <w:rsid w:val="00C355E0"/>
    <w:rsid w:val="00C36941"/>
    <w:rsid w:val="00C46C35"/>
    <w:rsid w:val="00C46CCA"/>
    <w:rsid w:val="00C5551E"/>
    <w:rsid w:val="00C65A3B"/>
    <w:rsid w:val="00C66F2E"/>
    <w:rsid w:val="00C67A07"/>
    <w:rsid w:val="00C77DC6"/>
    <w:rsid w:val="00C77E71"/>
    <w:rsid w:val="00C8077B"/>
    <w:rsid w:val="00C83797"/>
    <w:rsid w:val="00C953A7"/>
    <w:rsid w:val="00C97245"/>
    <w:rsid w:val="00CA69F4"/>
    <w:rsid w:val="00CA6F2E"/>
    <w:rsid w:val="00CA7DDE"/>
    <w:rsid w:val="00CB09C4"/>
    <w:rsid w:val="00CB3090"/>
    <w:rsid w:val="00CB3CCB"/>
    <w:rsid w:val="00CB5C60"/>
    <w:rsid w:val="00CB6E58"/>
    <w:rsid w:val="00CB7626"/>
    <w:rsid w:val="00CC24EA"/>
    <w:rsid w:val="00CD3BFF"/>
    <w:rsid w:val="00CD44C7"/>
    <w:rsid w:val="00CE3FFC"/>
    <w:rsid w:val="00CF1520"/>
    <w:rsid w:val="00CF2D95"/>
    <w:rsid w:val="00CF51EF"/>
    <w:rsid w:val="00CF6347"/>
    <w:rsid w:val="00D0279B"/>
    <w:rsid w:val="00D14F20"/>
    <w:rsid w:val="00D17F4F"/>
    <w:rsid w:val="00D202AF"/>
    <w:rsid w:val="00D2093A"/>
    <w:rsid w:val="00D212B4"/>
    <w:rsid w:val="00D2588D"/>
    <w:rsid w:val="00D3509E"/>
    <w:rsid w:val="00D42507"/>
    <w:rsid w:val="00D43A41"/>
    <w:rsid w:val="00D470E5"/>
    <w:rsid w:val="00D5259F"/>
    <w:rsid w:val="00D53670"/>
    <w:rsid w:val="00D56B0C"/>
    <w:rsid w:val="00D64309"/>
    <w:rsid w:val="00D70D62"/>
    <w:rsid w:val="00D73557"/>
    <w:rsid w:val="00D73BE0"/>
    <w:rsid w:val="00D742B6"/>
    <w:rsid w:val="00D75F84"/>
    <w:rsid w:val="00D810E5"/>
    <w:rsid w:val="00D81167"/>
    <w:rsid w:val="00D82B62"/>
    <w:rsid w:val="00D85A90"/>
    <w:rsid w:val="00D92194"/>
    <w:rsid w:val="00D92A54"/>
    <w:rsid w:val="00D94D0C"/>
    <w:rsid w:val="00DA051C"/>
    <w:rsid w:val="00DA45E7"/>
    <w:rsid w:val="00DA4F19"/>
    <w:rsid w:val="00DA668A"/>
    <w:rsid w:val="00DA6D3C"/>
    <w:rsid w:val="00DA7E4E"/>
    <w:rsid w:val="00DB2DD5"/>
    <w:rsid w:val="00DC10E9"/>
    <w:rsid w:val="00DC3838"/>
    <w:rsid w:val="00DC5E80"/>
    <w:rsid w:val="00DD0BB2"/>
    <w:rsid w:val="00DD2D40"/>
    <w:rsid w:val="00DD3F36"/>
    <w:rsid w:val="00DD6E2B"/>
    <w:rsid w:val="00DF2916"/>
    <w:rsid w:val="00E00C72"/>
    <w:rsid w:val="00E01DEE"/>
    <w:rsid w:val="00E05C18"/>
    <w:rsid w:val="00E073DB"/>
    <w:rsid w:val="00E100A8"/>
    <w:rsid w:val="00E12626"/>
    <w:rsid w:val="00E13D35"/>
    <w:rsid w:val="00E13D78"/>
    <w:rsid w:val="00E13FAE"/>
    <w:rsid w:val="00E14166"/>
    <w:rsid w:val="00E142C4"/>
    <w:rsid w:val="00E2011C"/>
    <w:rsid w:val="00E21128"/>
    <w:rsid w:val="00E22AC6"/>
    <w:rsid w:val="00E23A71"/>
    <w:rsid w:val="00E2516C"/>
    <w:rsid w:val="00E27E9C"/>
    <w:rsid w:val="00E3326E"/>
    <w:rsid w:val="00E3550F"/>
    <w:rsid w:val="00E4026A"/>
    <w:rsid w:val="00E41DE4"/>
    <w:rsid w:val="00E42044"/>
    <w:rsid w:val="00E42AB9"/>
    <w:rsid w:val="00E471C8"/>
    <w:rsid w:val="00E53734"/>
    <w:rsid w:val="00E54139"/>
    <w:rsid w:val="00E54E4B"/>
    <w:rsid w:val="00E56A90"/>
    <w:rsid w:val="00E56C9F"/>
    <w:rsid w:val="00E609B3"/>
    <w:rsid w:val="00E63AAF"/>
    <w:rsid w:val="00E63E55"/>
    <w:rsid w:val="00E6604C"/>
    <w:rsid w:val="00E70764"/>
    <w:rsid w:val="00E74E69"/>
    <w:rsid w:val="00E839A9"/>
    <w:rsid w:val="00E84FE6"/>
    <w:rsid w:val="00E873E9"/>
    <w:rsid w:val="00E9308A"/>
    <w:rsid w:val="00E935F5"/>
    <w:rsid w:val="00EA363A"/>
    <w:rsid w:val="00EA7C45"/>
    <w:rsid w:val="00EB33CA"/>
    <w:rsid w:val="00EB4E3E"/>
    <w:rsid w:val="00EB5D10"/>
    <w:rsid w:val="00EB7BBC"/>
    <w:rsid w:val="00EC4D0D"/>
    <w:rsid w:val="00EC7F74"/>
    <w:rsid w:val="00ED2205"/>
    <w:rsid w:val="00ED3532"/>
    <w:rsid w:val="00ED5A13"/>
    <w:rsid w:val="00EE3F99"/>
    <w:rsid w:val="00EF11B7"/>
    <w:rsid w:val="00EF19AE"/>
    <w:rsid w:val="00EF2B68"/>
    <w:rsid w:val="00EF44EA"/>
    <w:rsid w:val="00EF47A9"/>
    <w:rsid w:val="00EF76C6"/>
    <w:rsid w:val="00F032F1"/>
    <w:rsid w:val="00F045F3"/>
    <w:rsid w:val="00F10BBE"/>
    <w:rsid w:val="00F15AC3"/>
    <w:rsid w:val="00F16A3C"/>
    <w:rsid w:val="00F2176D"/>
    <w:rsid w:val="00F22465"/>
    <w:rsid w:val="00F2300C"/>
    <w:rsid w:val="00F25E47"/>
    <w:rsid w:val="00F27D70"/>
    <w:rsid w:val="00F3376C"/>
    <w:rsid w:val="00F35C4D"/>
    <w:rsid w:val="00F35CF0"/>
    <w:rsid w:val="00F35DD3"/>
    <w:rsid w:val="00F4045E"/>
    <w:rsid w:val="00F42594"/>
    <w:rsid w:val="00F47477"/>
    <w:rsid w:val="00F53968"/>
    <w:rsid w:val="00F61C8C"/>
    <w:rsid w:val="00F6345C"/>
    <w:rsid w:val="00F6438D"/>
    <w:rsid w:val="00F646D8"/>
    <w:rsid w:val="00F67A09"/>
    <w:rsid w:val="00F67A99"/>
    <w:rsid w:val="00F777AB"/>
    <w:rsid w:val="00F80A9C"/>
    <w:rsid w:val="00F85399"/>
    <w:rsid w:val="00F85585"/>
    <w:rsid w:val="00F930BA"/>
    <w:rsid w:val="00F94912"/>
    <w:rsid w:val="00F94EB8"/>
    <w:rsid w:val="00F950B6"/>
    <w:rsid w:val="00FA24E7"/>
    <w:rsid w:val="00FA38D6"/>
    <w:rsid w:val="00FA69B1"/>
    <w:rsid w:val="00FA7C2B"/>
    <w:rsid w:val="00FB59FA"/>
    <w:rsid w:val="00FC1097"/>
    <w:rsid w:val="00FC52A3"/>
    <w:rsid w:val="00FC79FD"/>
    <w:rsid w:val="00FD1073"/>
    <w:rsid w:val="00FD4EC4"/>
    <w:rsid w:val="00FD6CD0"/>
    <w:rsid w:val="00FF2E42"/>
    <w:rsid w:val="00FF5544"/>
    <w:rsid w:val="00FF58B0"/>
    <w:rsid w:val="00FF5C46"/>
    <w:rsid w:val="188F2DD7"/>
    <w:rsid w:val="1990720B"/>
    <w:rsid w:val="24341C05"/>
    <w:rsid w:val="375707E7"/>
    <w:rsid w:val="3CAF2742"/>
    <w:rsid w:val="3F4355F0"/>
    <w:rsid w:val="496C2AA9"/>
    <w:rsid w:val="4A4D03EF"/>
    <w:rsid w:val="51362B59"/>
    <w:rsid w:val="53FF4256"/>
    <w:rsid w:val="5D8B7F05"/>
    <w:rsid w:val="683F2DB1"/>
    <w:rsid w:val="72C8445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1" w:semiHidden="0" w:name="heading 2"/>
    <w:lsdException w:qFormat="1" w:uiPriority="1" w:semiHidden="0" w:name="heading 3"/>
    <w:lsdException w:qFormat="1" w:uiPriority="1" w:semiHidden="0" w:name="heading 4"/>
    <w:lsdException w:qFormat="1" w:uiPriority="1" w:semiHidden="0" w:name="heading 5"/>
    <w:lsdException w:qFormat="1" w:unhideWhenUsed="0" w:uiPriority="1" w:semiHidden="0" w:name="heading 6"/>
    <w:lsdException w:qFormat="1" w:uiPriority="9" w:name="heading 7"/>
    <w:lsdException w:qFormat="1" w:uiPriority="9"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0"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imes New Roman" w:hAnsi="Times New Roman" w:eastAsia="仿宋_GB2312" w:cstheme="minorBidi"/>
      <w:kern w:val="2"/>
      <w:sz w:val="32"/>
      <w:szCs w:val="21"/>
      <w:lang w:val="en-US" w:eastAsia="zh-CN" w:bidi="ar-SA"/>
    </w:rPr>
  </w:style>
  <w:style w:type="paragraph" w:styleId="2">
    <w:name w:val="heading 1"/>
    <w:next w:val="1"/>
    <w:link w:val="26"/>
    <w:qFormat/>
    <w:uiPriority w:val="1"/>
    <w:pPr>
      <w:keepNext/>
      <w:keepLines/>
      <w:numPr>
        <w:ilvl w:val="0"/>
        <w:numId w:val="1"/>
      </w:numPr>
      <w:spacing w:line="578" w:lineRule="auto"/>
      <w:jc w:val="center"/>
      <w:outlineLvl w:val="0"/>
    </w:pPr>
    <w:rPr>
      <w:rFonts w:ascii="Times New Roman" w:hAnsi="Times New Roman" w:eastAsia="黑体" w:cstheme="minorBidi"/>
      <w:bCs/>
      <w:kern w:val="44"/>
      <w:sz w:val="32"/>
      <w:szCs w:val="44"/>
      <w:lang w:val="en-US" w:eastAsia="zh-CN" w:bidi="ar-SA"/>
    </w:rPr>
  </w:style>
  <w:style w:type="paragraph" w:styleId="3">
    <w:name w:val="heading 2"/>
    <w:next w:val="1"/>
    <w:link w:val="27"/>
    <w:unhideWhenUsed/>
    <w:qFormat/>
    <w:uiPriority w:val="1"/>
    <w:pPr>
      <w:keepNext/>
      <w:keepLines/>
      <w:numPr>
        <w:ilvl w:val="1"/>
        <w:numId w:val="1"/>
      </w:numPr>
      <w:spacing w:line="415" w:lineRule="auto"/>
      <w:ind w:left="0"/>
      <w:jc w:val="center"/>
      <w:outlineLvl w:val="1"/>
    </w:pPr>
    <w:rPr>
      <w:rFonts w:ascii="Times New Roman" w:hAnsi="Times New Roman" w:eastAsia="黑体" w:cstheme="majorBidi"/>
      <w:bCs/>
      <w:kern w:val="2"/>
      <w:sz w:val="30"/>
      <w:szCs w:val="32"/>
      <w:lang w:val="en-US" w:eastAsia="zh-CN" w:bidi="ar-SA"/>
    </w:rPr>
  </w:style>
  <w:style w:type="paragraph" w:styleId="4">
    <w:name w:val="heading 3"/>
    <w:next w:val="1"/>
    <w:link w:val="28"/>
    <w:unhideWhenUsed/>
    <w:qFormat/>
    <w:uiPriority w:val="1"/>
    <w:pPr>
      <w:keepNext/>
      <w:keepLines/>
      <w:spacing w:line="415" w:lineRule="auto"/>
      <w:outlineLvl w:val="2"/>
    </w:pPr>
    <w:rPr>
      <w:rFonts w:ascii="Times New Roman" w:hAnsi="Times New Roman" w:eastAsia="黑体" w:cstheme="minorBidi"/>
      <w:bCs/>
      <w:kern w:val="2"/>
      <w:sz w:val="28"/>
      <w:szCs w:val="32"/>
      <w:lang w:val="en-US" w:eastAsia="zh-CN" w:bidi="ar-SA"/>
    </w:rPr>
  </w:style>
  <w:style w:type="paragraph" w:styleId="5">
    <w:name w:val="heading 4"/>
    <w:basedOn w:val="1"/>
    <w:next w:val="1"/>
    <w:link w:val="29"/>
    <w:unhideWhenUsed/>
    <w:qFormat/>
    <w:uiPriority w:val="1"/>
    <w:pPr>
      <w:keepNext/>
      <w:keepLines/>
      <w:spacing w:line="377" w:lineRule="auto"/>
      <w:ind w:firstLine="0" w:firstLineChars="0"/>
      <w:outlineLvl w:val="3"/>
    </w:pPr>
    <w:rPr>
      <w:rFonts w:eastAsia="黑体" w:asciiTheme="majorHAnsi" w:hAnsiTheme="majorHAnsi" w:cstheme="majorBidi"/>
      <w:bCs/>
      <w:szCs w:val="28"/>
    </w:rPr>
  </w:style>
  <w:style w:type="paragraph" w:styleId="6">
    <w:name w:val="heading 5"/>
    <w:basedOn w:val="1"/>
    <w:next w:val="1"/>
    <w:link w:val="30"/>
    <w:unhideWhenUsed/>
    <w:qFormat/>
    <w:uiPriority w:val="1"/>
    <w:pPr>
      <w:keepNext/>
      <w:keepLines/>
      <w:spacing w:before="280" w:after="290" w:line="376" w:lineRule="auto"/>
      <w:outlineLvl w:val="4"/>
    </w:pPr>
    <w:rPr>
      <w:b/>
      <w:bCs/>
      <w:szCs w:val="28"/>
    </w:rPr>
  </w:style>
  <w:style w:type="paragraph" w:styleId="7">
    <w:name w:val="heading 6"/>
    <w:next w:val="1"/>
    <w:link w:val="31"/>
    <w:qFormat/>
    <w:uiPriority w:val="1"/>
    <w:pPr>
      <w:keepNext/>
      <w:keepLines/>
      <w:spacing w:line="480" w:lineRule="exact"/>
      <w:outlineLvl w:val="5"/>
    </w:pPr>
    <w:rPr>
      <w:rFonts w:ascii="Cambria" w:hAnsi="Cambria" w:eastAsia="宋体" w:cs="Times New Roman"/>
      <w:b/>
      <w:bCs/>
      <w:snapToGrid w:val="0"/>
      <w:kern w:val="0"/>
      <w:sz w:val="24"/>
      <w:szCs w:val="24"/>
      <w:lang w:val="en-US" w:eastAsia="zh-CN" w:bidi="ar-SA"/>
    </w:rPr>
  </w:style>
  <w:style w:type="paragraph" w:styleId="8">
    <w:name w:val="heading 7"/>
    <w:basedOn w:val="1"/>
    <w:next w:val="1"/>
    <w:link w:val="32"/>
    <w:semiHidden/>
    <w:unhideWhenUsed/>
    <w:qFormat/>
    <w:uiPriority w:val="9"/>
    <w:pPr>
      <w:keepNext/>
      <w:keepLines/>
      <w:spacing w:before="240" w:after="64" w:line="320" w:lineRule="auto"/>
      <w:ind w:left="1296"/>
      <w:outlineLvl w:val="6"/>
    </w:pPr>
    <w:rPr>
      <w:b/>
      <w:bCs/>
      <w:szCs w:val="24"/>
    </w:rPr>
  </w:style>
  <w:style w:type="paragraph" w:styleId="9">
    <w:name w:val="heading 8"/>
    <w:basedOn w:val="1"/>
    <w:next w:val="1"/>
    <w:link w:val="33"/>
    <w:semiHidden/>
    <w:unhideWhenUsed/>
    <w:qFormat/>
    <w:uiPriority w:val="9"/>
    <w:pPr>
      <w:keepNext/>
      <w:keepLines/>
      <w:spacing w:before="240" w:after="64" w:line="320" w:lineRule="auto"/>
      <w:ind w:left="1440"/>
      <w:outlineLvl w:val="7"/>
    </w:pPr>
    <w:rPr>
      <w:rFonts w:ascii="Cambria" w:hAnsi="Cambria"/>
      <w:szCs w:val="24"/>
    </w:rPr>
  </w:style>
  <w:style w:type="paragraph" w:styleId="10">
    <w:name w:val="heading 9"/>
    <w:basedOn w:val="1"/>
    <w:next w:val="1"/>
    <w:link w:val="34"/>
    <w:unhideWhenUsed/>
    <w:qFormat/>
    <w:uiPriority w:val="9"/>
    <w:pPr>
      <w:keepNext/>
      <w:keepLines/>
      <w:spacing w:before="240" w:after="64" w:line="320" w:lineRule="auto"/>
      <w:ind w:left="1584"/>
      <w:outlineLvl w:val="8"/>
    </w:pPr>
    <w:rPr>
      <w:rFonts w:ascii="Cambria" w:hAnsi="Cambria"/>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11">
    <w:name w:val="annotation text"/>
    <w:basedOn w:val="1"/>
    <w:link w:val="42"/>
    <w:unhideWhenUsed/>
    <w:qFormat/>
    <w:uiPriority w:val="99"/>
    <w:pPr>
      <w:jc w:val="left"/>
    </w:pPr>
  </w:style>
  <w:style w:type="paragraph" w:styleId="12">
    <w:name w:val="toc 3"/>
    <w:basedOn w:val="1"/>
    <w:next w:val="1"/>
    <w:unhideWhenUsed/>
    <w:qFormat/>
    <w:uiPriority w:val="39"/>
    <w:pPr>
      <w:widowControl/>
      <w:spacing w:after="100" w:line="259" w:lineRule="auto"/>
      <w:ind w:left="440" w:firstLine="0" w:firstLineChars="0"/>
      <w:jc w:val="left"/>
    </w:pPr>
    <w:rPr>
      <w:rFonts w:cs="Times New Roman" w:asciiTheme="minorHAnsi" w:hAnsiTheme="minorHAnsi" w:eastAsiaTheme="minorEastAsia"/>
      <w:kern w:val="0"/>
      <w:sz w:val="22"/>
      <w:szCs w:val="22"/>
    </w:rPr>
  </w:style>
  <w:style w:type="paragraph" w:styleId="13">
    <w:name w:val="Balloon Text"/>
    <w:basedOn w:val="1"/>
    <w:link w:val="53"/>
    <w:semiHidden/>
    <w:unhideWhenUsed/>
    <w:qFormat/>
    <w:uiPriority w:val="99"/>
    <w:pPr>
      <w:spacing w:line="240" w:lineRule="auto"/>
    </w:pPr>
    <w:rPr>
      <w:sz w:val="18"/>
      <w:szCs w:val="18"/>
    </w:rPr>
  </w:style>
  <w:style w:type="paragraph" w:styleId="14">
    <w:name w:val="footer"/>
    <w:basedOn w:val="1"/>
    <w:link w:val="35"/>
    <w:unhideWhenUsed/>
    <w:qFormat/>
    <w:uiPriority w:val="99"/>
    <w:pPr>
      <w:tabs>
        <w:tab w:val="center" w:pos="4153"/>
        <w:tab w:val="right" w:pos="8306"/>
      </w:tabs>
      <w:snapToGrid w:val="0"/>
      <w:spacing w:line="240" w:lineRule="auto"/>
      <w:jc w:val="left"/>
    </w:pPr>
    <w:rPr>
      <w:sz w:val="18"/>
      <w:szCs w:val="18"/>
    </w:rPr>
  </w:style>
  <w:style w:type="paragraph" w:styleId="15">
    <w:name w:val="header"/>
    <w:basedOn w:val="1"/>
    <w:link w:val="36"/>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6">
    <w:name w:val="toc 1"/>
    <w:basedOn w:val="1"/>
    <w:next w:val="1"/>
    <w:unhideWhenUsed/>
    <w:qFormat/>
    <w:uiPriority w:val="39"/>
    <w:pPr>
      <w:widowControl/>
      <w:tabs>
        <w:tab w:val="right" w:leader="dot" w:pos="8296"/>
      </w:tabs>
      <w:spacing w:beforeLines="100"/>
      <w:ind w:firstLine="0" w:firstLineChars="0"/>
      <w:jc w:val="left"/>
    </w:pPr>
    <w:rPr>
      <w:rFonts w:cs="Times New Roman" w:asciiTheme="minorHAnsi" w:hAnsiTheme="minorHAnsi" w:eastAsiaTheme="minorEastAsia"/>
      <w:kern w:val="0"/>
      <w:sz w:val="22"/>
      <w:szCs w:val="22"/>
    </w:rPr>
  </w:style>
  <w:style w:type="paragraph" w:styleId="17">
    <w:name w:val="toc 2"/>
    <w:basedOn w:val="1"/>
    <w:next w:val="1"/>
    <w:unhideWhenUsed/>
    <w:qFormat/>
    <w:uiPriority w:val="39"/>
    <w:pPr>
      <w:widowControl/>
      <w:spacing w:after="100" w:line="259" w:lineRule="auto"/>
      <w:ind w:left="220" w:firstLine="0" w:firstLineChars="0"/>
      <w:jc w:val="left"/>
    </w:pPr>
    <w:rPr>
      <w:rFonts w:cs="Times New Roman" w:asciiTheme="minorHAnsi" w:hAnsiTheme="minorHAnsi" w:eastAsiaTheme="minorEastAsia"/>
      <w:kern w:val="0"/>
      <w:sz w:val="22"/>
      <w:szCs w:val="22"/>
    </w:rPr>
  </w:style>
  <w:style w:type="paragraph" w:styleId="18">
    <w:name w:val="Normal (Web)"/>
    <w:basedOn w:val="1"/>
    <w:semiHidden/>
    <w:unhideWhenUsed/>
    <w:qFormat/>
    <w:uiPriority w:val="99"/>
    <w:rPr>
      <w:rFonts w:cs="Times New Roman"/>
      <w:szCs w:val="24"/>
    </w:rPr>
  </w:style>
  <w:style w:type="paragraph" w:styleId="19">
    <w:name w:val="annotation subject"/>
    <w:basedOn w:val="11"/>
    <w:next w:val="11"/>
    <w:link w:val="43"/>
    <w:semiHidden/>
    <w:unhideWhenUsed/>
    <w:qFormat/>
    <w:uiPriority w:val="99"/>
    <w:rPr>
      <w:b/>
      <w:bCs/>
    </w:rPr>
  </w:style>
  <w:style w:type="table" w:styleId="21">
    <w:name w:val="Table Grid"/>
    <w:basedOn w:val="2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Strong"/>
    <w:basedOn w:val="22"/>
    <w:qFormat/>
    <w:uiPriority w:val="22"/>
    <w:rPr>
      <w:b/>
    </w:rPr>
  </w:style>
  <w:style w:type="character" w:styleId="24">
    <w:name w:val="Hyperlink"/>
    <w:basedOn w:val="22"/>
    <w:unhideWhenUsed/>
    <w:qFormat/>
    <w:uiPriority w:val="99"/>
    <w:rPr>
      <w:color w:val="0563C1" w:themeColor="hyperlink"/>
      <w:u w:val="single"/>
      <w14:textFill>
        <w14:solidFill>
          <w14:schemeClr w14:val="hlink"/>
        </w14:solidFill>
      </w14:textFill>
    </w:rPr>
  </w:style>
  <w:style w:type="character" w:styleId="25">
    <w:name w:val="annotation reference"/>
    <w:basedOn w:val="22"/>
    <w:semiHidden/>
    <w:unhideWhenUsed/>
    <w:qFormat/>
    <w:uiPriority w:val="99"/>
    <w:rPr>
      <w:sz w:val="21"/>
      <w:szCs w:val="21"/>
    </w:rPr>
  </w:style>
  <w:style w:type="character" w:customStyle="1" w:styleId="26">
    <w:name w:val="标题 1 Char"/>
    <w:basedOn w:val="22"/>
    <w:link w:val="2"/>
    <w:qFormat/>
    <w:uiPriority w:val="1"/>
    <w:rPr>
      <w:rFonts w:ascii="Times New Roman" w:hAnsi="Times New Roman" w:eastAsia="黑体"/>
      <w:bCs/>
      <w:kern w:val="44"/>
      <w:sz w:val="32"/>
      <w:szCs w:val="44"/>
    </w:rPr>
  </w:style>
  <w:style w:type="character" w:customStyle="1" w:styleId="27">
    <w:name w:val="标题 2 Char"/>
    <w:basedOn w:val="22"/>
    <w:link w:val="3"/>
    <w:qFormat/>
    <w:uiPriority w:val="1"/>
    <w:rPr>
      <w:rFonts w:ascii="Times New Roman" w:hAnsi="Times New Roman" w:eastAsia="黑体" w:cstheme="majorBidi"/>
      <w:bCs/>
      <w:sz w:val="30"/>
      <w:szCs w:val="32"/>
    </w:rPr>
  </w:style>
  <w:style w:type="character" w:customStyle="1" w:styleId="28">
    <w:name w:val="标题 3 Char"/>
    <w:basedOn w:val="22"/>
    <w:link w:val="4"/>
    <w:qFormat/>
    <w:uiPriority w:val="1"/>
    <w:rPr>
      <w:rFonts w:ascii="Times New Roman" w:hAnsi="Times New Roman" w:eastAsia="黑体"/>
      <w:bCs/>
      <w:sz w:val="28"/>
      <w:szCs w:val="32"/>
    </w:rPr>
  </w:style>
  <w:style w:type="character" w:customStyle="1" w:styleId="29">
    <w:name w:val="标题 4 Char"/>
    <w:basedOn w:val="22"/>
    <w:link w:val="5"/>
    <w:qFormat/>
    <w:uiPriority w:val="1"/>
    <w:rPr>
      <w:rFonts w:eastAsia="黑体" w:asciiTheme="majorHAnsi" w:hAnsiTheme="majorHAnsi" w:cstheme="majorBidi"/>
      <w:bCs/>
      <w:sz w:val="28"/>
      <w:szCs w:val="28"/>
    </w:rPr>
  </w:style>
  <w:style w:type="character" w:customStyle="1" w:styleId="30">
    <w:name w:val="标题 5 Char"/>
    <w:basedOn w:val="22"/>
    <w:link w:val="6"/>
    <w:qFormat/>
    <w:uiPriority w:val="1"/>
    <w:rPr>
      <w:rFonts w:ascii="Times New Roman" w:hAnsi="Times New Roman" w:eastAsia="宋体"/>
      <w:b/>
      <w:bCs/>
      <w:sz w:val="28"/>
      <w:szCs w:val="28"/>
    </w:rPr>
  </w:style>
  <w:style w:type="character" w:customStyle="1" w:styleId="31">
    <w:name w:val="标题 6 Char"/>
    <w:basedOn w:val="22"/>
    <w:link w:val="7"/>
    <w:qFormat/>
    <w:uiPriority w:val="1"/>
    <w:rPr>
      <w:rFonts w:ascii="Cambria" w:hAnsi="Cambria" w:eastAsia="宋体" w:cs="Times New Roman"/>
      <w:b/>
      <w:bCs/>
      <w:snapToGrid w:val="0"/>
      <w:kern w:val="0"/>
      <w:sz w:val="24"/>
      <w:szCs w:val="24"/>
    </w:rPr>
  </w:style>
  <w:style w:type="character" w:customStyle="1" w:styleId="32">
    <w:name w:val="标题 7 Char"/>
    <w:basedOn w:val="22"/>
    <w:link w:val="8"/>
    <w:semiHidden/>
    <w:qFormat/>
    <w:uiPriority w:val="9"/>
    <w:rPr>
      <w:rFonts w:ascii="Times New Roman" w:hAnsi="Times New Roman" w:eastAsia="宋体"/>
      <w:b/>
      <w:bCs/>
      <w:sz w:val="28"/>
      <w:szCs w:val="24"/>
    </w:rPr>
  </w:style>
  <w:style w:type="character" w:customStyle="1" w:styleId="33">
    <w:name w:val="标题 8 Char"/>
    <w:basedOn w:val="22"/>
    <w:link w:val="9"/>
    <w:semiHidden/>
    <w:qFormat/>
    <w:uiPriority w:val="9"/>
    <w:rPr>
      <w:rFonts w:ascii="Cambria" w:hAnsi="Cambria" w:eastAsia="宋体"/>
      <w:sz w:val="28"/>
      <w:szCs w:val="24"/>
    </w:rPr>
  </w:style>
  <w:style w:type="character" w:customStyle="1" w:styleId="34">
    <w:name w:val="标题 9 Char"/>
    <w:basedOn w:val="22"/>
    <w:link w:val="10"/>
    <w:qFormat/>
    <w:uiPriority w:val="9"/>
    <w:rPr>
      <w:rFonts w:ascii="Cambria" w:hAnsi="Cambria" w:eastAsia="宋体"/>
      <w:sz w:val="28"/>
    </w:rPr>
  </w:style>
  <w:style w:type="character" w:customStyle="1" w:styleId="35">
    <w:name w:val="页脚 Char"/>
    <w:basedOn w:val="22"/>
    <w:link w:val="14"/>
    <w:qFormat/>
    <w:uiPriority w:val="99"/>
    <w:rPr>
      <w:rFonts w:ascii="Times New Roman" w:hAnsi="Times New Roman" w:eastAsia="宋体"/>
      <w:sz w:val="18"/>
      <w:szCs w:val="18"/>
    </w:rPr>
  </w:style>
  <w:style w:type="character" w:customStyle="1" w:styleId="36">
    <w:name w:val="页眉 Char"/>
    <w:basedOn w:val="22"/>
    <w:link w:val="15"/>
    <w:qFormat/>
    <w:uiPriority w:val="99"/>
    <w:rPr>
      <w:rFonts w:ascii="Times New Roman" w:hAnsi="Times New Roman" w:eastAsia="宋体"/>
      <w:sz w:val="18"/>
      <w:szCs w:val="18"/>
    </w:rPr>
  </w:style>
  <w:style w:type="paragraph" w:customStyle="1" w:styleId="37">
    <w:name w:val="Default"/>
    <w:qFormat/>
    <w:uiPriority w:val="0"/>
    <w:pPr>
      <w:widowControl w:val="0"/>
      <w:autoSpaceDE w:val="0"/>
      <w:autoSpaceDN w:val="0"/>
      <w:adjustRightInd w:val="0"/>
    </w:pPr>
    <w:rPr>
      <w:rFonts w:ascii="宋体" w:eastAsia="宋体" w:cs="宋体" w:hAnsiTheme="minorHAnsi"/>
      <w:color w:val="000000"/>
      <w:kern w:val="0"/>
      <w:sz w:val="24"/>
      <w:szCs w:val="24"/>
      <w:lang w:val="en-US" w:eastAsia="zh-CN" w:bidi="ar-SA"/>
    </w:rPr>
  </w:style>
  <w:style w:type="paragraph" w:customStyle="1" w:styleId="38">
    <w:name w:val="TOC Heading"/>
    <w:basedOn w:val="2"/>
    <w:next w:val="1"/>
    <w:unhideWhenUsed/>
    <w:qFormat/>
    <w:uiPriority w:val="39"/>
    <w:pPr>
      <w:numPr>
        <w:numId w:val="0"/>
      </w:numPr>
      <w:spacing w:before="240" w:line="259" w:lineRule="auto"/>
      <w:outlineLvl w:val="9"/>
    </w:pPr>
    <w:rPr>
      <w:rFonts w:asciiTheme="majorHAnsi" w:hAnsiTheme="majorHAnsi" w:eastAsiaTheme="majorEastAsia" w:cstheme="majorBidi"/>
      <w:bCs w:val="0"/>
      <w:color w:val="2F5597" w:themeColor="accent1" w:themeShade="BF"/>
      <w:kern w:val="0"/>
      <w:szCs w:val="32"/>
    </w:rPr>
  </w:style>
  <w:style w:type="paragraph" w:customStyle="1" w:styleId="39">
    <w:name w:val="表格名称"/>
    <w:next w:val="1"/>
    <w:qFormat/>
    <w:uiPriority w:val="0"/>
    <w:pPr>
      <w:spacing w:line="312" w:lineRule="auto"/>
      <w:ind w:firstLine="480"/>
      <w:jc w:val="center"/>
    </w:pPr>
    <w:rPr>
      <w:rFonts w:ascii="Times New Roman" w:hAnsi="Times New Roman" w:eastAsia="仿宋_GB2312" w:cstheme="minorBidi"/>
      <w:b/>
      <w:kern w:val="2"/>
      <w:sz w:val="24"/>
      <w:szCs w:val="21"/>
      <w:lang w:val="en-US" w:eastAsia="zh-CN" w:bidi="ar-SA"/>
    </w:rPr>
  </w:style>
  <w:style w:type="paragraph" w:customStyle="1" w:styleId="40">
    <w:name w:val="表格内容"/>
    <w:qFormat/>
    <w:uiPriority w:val="0"/>
    <w:pPr>
      <w:adjustRightInd w:val="0"/>
      <w:snapToGrid w:val="0"/>
      <w:jc w:val="center"/>
    </w:pPr>
    <w:rPr>
      <w:rFonts w:ascii="Times New Roman" w:hAnsi="Times New Roman" w:eastAsia="仿宋_GB2312" w:cstheme="minorBidi"/>
      <w:kern w:val="2"/>
      <w:sz w:val="21"/>
      <w:szCs w:val="18"/>
      <w:lang w:val="en-US" w:eastAsia="zh-CN" w:bidi="ar-SA"/>
    </w:rPr>
  </w:style>
  <w:style w:type="paragraph" w:styleId="41">
    <w:name w:val="List Paragraph"/>
    <w:basedOn w:val="1"/>
    <w:qFormat/>
    <w:uiPriority w:val="34"/>
    <w:pPr>
      <w:ind w:firstLine="420"/>
    </w:pPr>
  </w:style>
  <w:style w:type="character" w:customStyle="1" w:styleId="42">
    <w:name w:val="批注文字 Char"/>
    <w:basedOn w:val="22"/>
    <w:link w:val="11"/>
    <w:qFormat/>
    <w:uiPriority w:val="99"/>
    <w:rPr>
      <w:rFonts w:ascii="Times New Roman" w:hAnsi="Times New Roman" w:eastAsia="宋体"/>
      <w:sz w:val="28"/>
    </w:rPr>
  </w:style>
  <w:style w:type="character" w:customStyle="1" w:styleId="43">
    <w:name w:val="批注主题 Char"/>
    <w:basedOn w:val="42"/>
    <w:link w:val="19"/>
    <w:semiHidden/>
    <w:qFormat/>
    <w:uiPriority w:val="99"/>
    <w:rPr>
      <w:rFonts w:ascii="Times New Roman" w:hAnsi="Times New Roman" w:eastAsia="宋体"/>
      <w:b/>
      <w:bCs/>
      <w:sz w:val="28"/>
    </w:rPr>
  </w:style>
  <w:style w:type="table" w:customStyle="1" w:styleId="44">
    <w:name w:val="日历 2"/>
    <w:basedOn w:val="20"/>
    <w:qFormat/>
    <w:uiPriority w:val="99"/>
    <w:pPr>
      <w:jc w:val="center"/>
    </w:pPr>
    <w:rPr>
      <w:kern w:val="0"/>
      <w:sz w:val="28"/>
      <w:szCs w:val="28"/>
    </w:rPr>
    <w:tblPr>
      <w:tblBorders>
        <w:insideV w:val="single" w:color="8EAADB" w:themeColor="accent1" w:themeTint="99" w:sz="4" w:space="0"/>
      </w:tblBorders>
      <w:tblCellMar>
        <w:top w:w="0" w:type="dxa"/>
        <w:left w:w="108" w:type="dxa"/>
        <w:bottom w:w="0" w:type="dxa"/>
        <w:right w:w="108" w:type="dxa"/>
      </w:tblCellMar>
    </w:tblPr>
    <w:tblStylePr w:type="firstRow">
      <w:rPr>
        <w:rFonts w:asciiTheme="majorHAnsi" w:hAnsiTheme="majorHAnsi" w:eastAsiaTheme="majorEastAsia"/>
        <w:b w:val="0"/>
        <w:i w:val="0"/>
        <w:caps/>
        <w:smallCaps w:val="0"/>
        <w:color w:val="4472C4" w:themeColor="accent1"/>
        <w:spacing w:val="20"/>
        <w:sz w:val="32"/>
        <w14:textFill>
          <w14:solidFill>
            <w14:schemeClr w14:val="accent1"/>
          </w14:solidFill>
        </w14:textFill>
      </w:rPr>
      <w:tcPr>
        <w:tcBorders>
          <w:top w:val="nil"/>
          <w:left w:val="nil"/>
          <w:bottom w:val="nil"/>
          <w:right w:val="nil"/>
          <w:insideH w:val="nil"/>
          <w:insideV w:val="nil"/>
          <w:tl2br w:val="nil"/>
          <w:tr2bl w:val="nil"/>
        </w:tcBorders>
      </w:tcPr>
    </w:tblStylePr>
  </w:style>
  <w:style w:type="paragraph" w:customStyle="1" w:styleId="45">
    <w:name w:val="条文内容"/>
    <w:basedOn w:val="41"/>
    <w:next w:val="1"/>
    <w:qFormat/>
    <w:uiPriority w:val="0"/>
    <w:pPr>
      <w:numPr>
        <w:ilvl w:val="0"/>
        <w:numId w:val="2"/>
      </w:numPr>
      <w:ind w:left="0" w:firstLine="200"/>
    </w:pPr>
    <w:rPr>
      <w:color w:val="000000" w:themeColor="text1"/>
      <w14:textFill>
        <w14:solidFill>
          <w14:schemeClr w14:val="tx1"/>
        </w14:solidFill>
      </w14:textFill>
    </w:rPr>
  </w:style>
  <w:style w:type="table" w:customStyle="1" w:styleId="46">
    <w:name w:val="网格型1"/>
    <w:basedOn w:val="2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7">
    <w:name w:val="网格型2"/>
    <w:basedOn w:val="2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48">
    <w:name w:val="未处理的提及1"/>
    <w:basedOn w:val="22"/>
    <w:semiHidden/>
    <w:unhideWhenUsed/>
    <w:qFormat/>
    <w:uiPriority w:val="99"/>
    <w:rPr>
      <w:color w:val="605E5C"/>
      <w:shd w:val="clear" w:color="auto" w:fill="E1DFDD"/>
    </w:rPr>
  </w:style>
  <w:style w:type="paragraph" w:styleId="49">
    <w:name w:val="No Spacing"/>
    <w:link w:val="50"/>
    <w:qFormat/>
    <w:uiPriority w:val="1"/>
    <w:rPr>
      <w:rFonts w:asciiTheme="minorHAnsi" w:hAnsiTheme="minorHAnsi" w:eastAsiaTheme="minorEastAsia" w:cstheme="minorBidi"/>
      <w:kern w:val="0"/>
      <w:sz w:val="22"/>
      <w:szCs w:val="21"/>
      <w:lang w:val="en-US" w:eastAsia="zh-CN" w:bidi="ar-SA"/>
    </w:rPr>
  </w:style>
  <w:style w:type="character" w:customStyle="1" w:styleId="50">
    <w:name w:val="无间隔 Char"/>
    <w:basedOn w:val="22"/>
    <w:link w:val="49"/>
    <w:qFormat/>
    <w:uiPriority w:val="1"/>
    <w:rPr>
      <w:kern w:val="0"/>
      <w:sz w:val="22"/>
    </w:rPr>
  </w:style>
  <w:style w:type="paragraph" w:customStyle="1" w:styleId="51">
    <w:name w:val="正文（带公式）"/>
    <w:basedOn w:val="1"/>
    <w:qFormat/>
    <w:uiPriority w:val="0"/>
    <w:pPr>
      <w:spacing w:line="500" w:lineRule="exact"/>
    </w:pPr>
  </w:style>
  <w:style w:type="paragraph" w:customStyle="1" w:styleId="52">
    <w:name w:val="Revision"/>
    <w:hidden/>
    <w:semiHidden/>
    <w:qFormat/>
    <w:uiPriority w:val="99"/>
    <w:rPr>
      <w:rFonts w:ascii="Times New Roman" w:hAnsi="Times New Roman" w:eastAsia="仿宋_GB2312" w:cstheme="minorBidi"/>
      <w:kern w:val="2"/>
      <w:sz w:val="32"/>
      <w:szCs w:val="21"/>
      <w:lang w:val="en-US" w:eastAsia="zh-CN" w:bidi="ar-SA"/>
    </w:rPr>
  </w:style>
  <w:style w:type="character" w:customStyle="1" w:styleId="53">
    <w:name w:val="批注框文本 Char"/>
    <w:basedOn w:val="22"/>
    <w:link w:val="13"/>
    <w:semiHidden/>
    <w:qFormat/>
    <w:uiPriority w:val="99"/>
    <w:rPr>
      <w:rFonts w:ascii="Times New Roman" w:hAnsi="Times New Roman" w:eastAsia="仿宋_GB231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BE374F-6F87-4F7A-A60F-9786F768AEDF}">
  <ds:schemaRefs/>
</ds:datastoreItem>
</file>

<file path=docProps/app.xml><?xml version="1.0" encoding="utf-8"?>
<Properties xmlns="http://schemas.openxmlformats.org/officeDocument/2006/extended-properties" xmlns:vt="http://schemas.openxmlformats.org/officeDocument/2006/docPropsVTypes">
  <Template>Normal</Template>
  <Pages>27</Pages>
  <Words>2023</Words>
  <Characters>11534</Characters>
  <Lines>96</Lines>
  <Paragraphs>27</Paragraphs>
  <TotalTime>0</TotalTime>
  <ScaleCrop>false</ScaleCrop>
  <LinksUpToDate>false</LinksUpToDate>
  <CharactersWithSpaces>13530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2021-11-24T01:28:00Z</dcterms:created>
  <dc:creator>杨 迎</dc:creator>
  <cp:lastModifiedBy>王彪</cp:lastModifiedBy>
  <cp:lastPrinted>2021-11-22T06:13:00Z</cp:lastPrinted>
  <dcterms:modified xsi:type="dcterms:W3CDTF">2021-11-30T07:38:52Z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FAC2B215495046F18BCDEEA7CB58783E</vt:lpwstr>
  </property>
</Properties>
</file>