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85406">
      <w:pPr>
        <w:autoSpaceDN w:val="0"/>
        <w:spacing w:line="560" w:lineRule="exact"/>
        <w:jc w:val="center"/>
        <w:rPr>
          <w:rFonts w:hint="eastAsia" w:eastAsia="方正小标宋简体"/>
          <w:color w:val="000000"/>
          <w:sz w:val="44"/>
          <w:lang w:eastAsia="zh-CN"/>
        </w:rPr>
      </w:pPr>
      <w:r>
        <w:rPr>
          <w:rFonts w:hint="eastAsia" w:eastAsia="方正小标宋简体"/>
          <w:color w:val="000000"/>
          <w:sz w:val="44"/>
        </w:rPr>
        <w:t>四川能源监管办关于</w:t>
      </w:r>
      <w:r>
        <w:rPr>
          <w:rFonts w:hint="eastAsia" w:eastAsia="方正小标宋简体"/>
          <w:color w:val="000000"/>
          <w:sz w:val="44"/>
          <w:lang w:val="en-US" w:eastAsia="zh-CN"/>
        </w:rPr>
        <w:t>公开</w:t>
      </w:r>
      <w:r>
        <w:rPr>
          <w:rFonts w:hint="eastAsia" w:eastAsia="方正小标宋简体"/>
          <w:color w:val="000000"/>
          <w:sz w:val="44"/>
        </w:rPr>
        <w:t>征求</w:t>
      </w:r>
      <w:r>
        <w:rPr>
          <w:rFonts w:hint="eastAsia" w:eastAsia="方正小标宋简体"/>
          <w:color w:val="000000"/>
          <w:sz w:val="44"/>
          <w:lang w:val="en-US" w:eastAsia="zh-CN"/>
        </w:rPr>
        <w:t>对</w:t>
      </w:r>
      <w:r>
        <w:rPr>
          <w:rFonts w:hint="eastAsia" w:eastAsia="方正小标宋简体"/>
          <w:color w:val="000000"/>
          <w:sz w:val="44"/>
        </w:rPr>
        <w:t>《关于加强四川新能源和新型并网主体涉网安全管理的通知（征求意见稿）》意见的</w:t>
      </w:r>
      <w:r>
        <w:rPr>
          <w:rFonts w:hint="eastAsia" w:eastAsia="方正小标宋简体"/>
          <w:color w:val="000000"/>
          <w:sz w:val="44"/>
          <w:lang w:val="en-US" w:eastAsia="zh-CN"/>
        </w:rPr>
        <w:t>公告</w:t>
      </w:r>
    </w:p>
    <w:p w14:paraId="5298C1B2">
      <w:pPr>
        <w:autoSpaceDN w:val="0"/>
        <w:spacing w:line="560" w:lineRule="exact"/>
        <w:ind w:firstLine="640" w:firstLineChars="200"/>
        <w:jc w:val="right"/>
        <w:rPr>
          <w:rFonts w:eastAsia="黑体"/>
          <w:sz w:val="32"/>
          <w:szCs w:val="32"/>
        </w:rPr>
      </w:pPr>
    </w:p>
    <w:p w14:paraId="7924F6FE">
      <w:pPr>
        <w:tabs>
          <w:tab w:val="left" w:pos="0"/>
        </w:tabs>
        <w:spacing w:line="560" w:lineRule="exact"/>
        <w:ind w:firstLine="640" w:firstLineChars="200"/>
        <w:outlineLvl w:val="1"/>
        <w:rPr>
          <w:rFonts w:eastAsia="仿宋_GB2312"/>
          <w:spacing w:val="-6"/>
          <w:sz w:val="32"/>
        </w:rPr>
      </w:pPr>
      <w:r>
        <w:rPr>
          <w:rFonts w:hint="eastAsia" w:eastAsia="仿宋_GB2312"/>
          <w:sz w:val="32"/>
          <w:szCs w:val="32"/>
        </w:rPr>
        <w:t>为贯彻落实</w:t>
      </w:r>
      <w:r>
        <w:rPr>
          <w:rFonts w:eastAsia="仿宋_GB2312"/>
          <w:spacing w:val="-6"/>
          <w:sz w:val="32"/>
        </w:rPr>
        <w:t>《国家能源局关于提升新能源和新型并网主体涉网安全能力</w:t>
      </w:r>
      <w:r>
        <w:rPr>
          <w:spacing w:val="-6"/>
          <w:sz w:val="32"/>
        </w:rPr>
        <w:t xml:space="preserve"> </w:t>
      </w:r>
      <w:r>
        <w:rPr>
          <w:rFonts w:eastAsia="仿宋_GB2312"/>
          <w:spacing w:val="-6"/>
          <w:sz w:val="32"/>
        </w:rPr>
        <w:t>服务新型电力系统高质量发展的通知》（国能发安全〔2024〕79号）</w:t>
      </w:r>
      <w:r>
        <w:rPr>
          <w:rFonts w:hint="eastAsia" w:eastAsia="仿宋_GB2312"/>
          <w:spacing w:val="-6"/>
          <w:sz w:val="32"/>
        </w:rPr>
        <w:t>和相关宣贯会议要求，我办会同</w:t>
      </w:r>
      <w:r>
        <w:rPr>
          <w:rFonts w:hint="eastAsia" w:eastAsia="仿宋_GB2312"/>
          <w:spacing w:val="-6"/>
          <w:sz w:val="32"/>
          <w:lang w:val="en-US" w:eastAsia="zh-CN"/>
        </w:rPr>
        <w:t>四川</w:t>
      </w:r>
      <w:r>
        <w:rPr>
          <w:rFonts w:hint="eastAsia" w:eastAsia="仿宋_GB2312"/>
          <w:spacing w:val="-6"/>
          <w:sz w:val="32"/>
        </w:rPr>
        <w:t>省能源局起草了《关于加强四川新能源和新型并网主体涉网安全管理的通知（征求意见稿）》</w:t>
      </w:r>
      <w:r>
        <w:rPr>
          <w:rFonts w:hint="eastAsia" w:eastAsia="仿宋_GB2312"/>
          <w:spacing w:val="-6"/>
          <w:sz w:val="32"/>
          <w:lang w:eastAsia="zh-CN"/>
        </w:rPr>
        <w:t>，</w:t>
      </w:r>
      <w:r>
        <w:rPr>
          <w:rFonts w:hint="eastAsia" w:eastAsia="仿宋_GB2312"/>
          <w:spacing w:val="-6"/>
          <w:sz w:val="32"/>
          <w:lang w:val="en-US" w:eastAsia="zh-CN"/>
        </w:rPr>
        <w:t>现向社会公开征求意见</w:t>
      </w:r>
      <w:r>
        <w:rPr>
          <w:rFonts w:hint="eastAsia" w:eastAsia="仿宋_GB2312"/>
          <w:spacing w:val="-6"/>
          <w:sz w:val="32"/>
        </w:rPr>
        <w:t>。</w:t>
      </w:r>
    </w:p>
    <w:p w14:paraId="028C91A0">
      <w:pPr>
        <w:tabs>
          <w:tab w:val="left" w:pos="0"/>
        </w:tabs>
        <w:spacing w:line="560" w:lineRule="exact"/>
        <w:ind w:firstLine="616" w:firstLineChars="200"/>
        <w:outlineLvl w:val="1"/>
        <w:rPr>
          <w:rFonts w:hint="eastAsia" w:eastAsia="仿宋_GB2312"/>
          <w:spacing w:val="-6"/>
          <w:sz w:val="32"/>
          <w:lang w:eastAsia="zh-CN"/>
        </w:rPr>
      </w:pPr>
      <w:r>
        <w:rPr>
          <w:rFonts w:hint="eastAsia" w:eastAsia="仿宋_GB2312"/>
          <w:spacing w:val="-6"/>
          <w:sz w:val="32"/>
        </w:rPr>
        <w:t>此次征求意见时间为2025年3月</w:t>
      </w:r>
      <w:r>
        <w:rPr>
          <w:rFonts w:hint="eastAsia" w:eastAsia="仿宋_GB2312"/>
          <w:spacing w:val="-6"/>
          <w:sz w:val="32"/>
          <w:lang w:val="en-US" w:eastAsia="zh-CN"/>
        </w:rPr>
        <w:t>22</w:t>
      </w:r>
      <w:r>
        <w:rPr>
          <w:rFonts w:hint="eastAsia" w:eastAsia="仿宋_GB2312"/>
          <w:spacing w:val="-6"/>
          <w:sz w:val="32"/>
        </w:rPr>
        <w:t>日至2025年</w:t>
      </w:r>
      <w:r>
        <w:rPr>
          <w:rFonts w:hint="eastAsia" w:eastAsia="仿宋_GB2312"/>
          <w:spacing w:val="-6"/>
          <w:sz w:val="32"/>
          <w:lang w:val="en-US" w:eastAsia="zh-CN"/>
        </w:rPr>
        <w:t>4</w:t>
      </w:r>
      <w:r>
        <w:rPr>
          <w:rFonts w:hint="eastAsia" w:eastAsia="仿宋_GB2312"/>
          <w:spacing w:val="-6"/>
          <w:sz w:val="32"/>
        </w:rPr>
        <w:t>月</w:t>
      </w:r>
      <w:r>
        <w:rPr>
          <w:rFonts w:hint="eastAsia" w:eastAsia="仿宋_GB2312"/>
          <w:spacing w:val="-6"/>
          <w:sz w:val="32"/>
          <w:lang w:val="en-US" w:eastAsia="zh-CN"/>
        </w:rPr>
        <w:t>20</w:t>
      </w:r>
      <w:r>
        <w:rPr>
          <w:rFonts w:hint="eastAsia" w:eastAsia="仿宋_GB2312"/>
          <w:spacing w:val="-6"/>
          <w:sz w:val="32"/>
        </w:rPr>
        <w:t>日。意见建议请通过电子邮件发至</w:t>
      </w:r>
      <w:r>
        <w:rPr>
          <w:rFonts w:hint="eastAsia" w:eastAsia="仿宋_GB2312"/>
          <w:color w:val="auto"/>
          <w:spacing w:val="-6"/>
          <w:sz w:val="32"/>
          <w:u w:val="none"/>
        </w:rPr>
        <w:t>scnyjgbaqc@163.com</w:t>
      </w:r>
      <w:r>
        <w:rPr>
          <w:rFonts w:hint="eastAsia" w:eastAsia="仿宋_GB2312"/>
          <w:color w:val="auto"/>
          <w:spacing w:val="-6"/>
          <w:sz w:val="32"/>
          <w:u w:val="none"/>
          <w:lang w:eastAsia="zh-CN"/>
        </w:rPr>
        <w:t>。</w:t>
      </w:r>
    </w:p>
    <w:p w14:paraId="67F0E8F9">
      <w:pPr>
        <w:tabs>
          <w:tab w:val="left" w:pos="0"/>
        </w:tabs>
        <w:spacing w:line="560" w:lineRule="exact"/>
        <w:ind w:firstLine="616" w:firstLineChars="200"/>
        <w:outlineLvl w:val="1"/>
        <w:rPr>
          <w:rFonts w:hint="eastAsia" w:eastAsia="仿宋_GB2312"/>
          <w:spacing w:val="-6"/>
          <w:sz w:val="32"/>
          <w:lang w:eastAsia="zh-CN"/>
        </w:rPr>
      </w:pPr>
      <w:r>
        <w:rPr>
          <w:rFonts w:hint="eastAsia" w:eastAsia="仿宋_GB2312"/>
          <w:spacing w:val="-6"/>
          <w:sz w:val="32"/>
          <w:lang w:eastAsia="zh-CN"/>
        </w:rPr>
        <w:t>感谢您的参与和支持！</w:t>
      </w:r>
    </w:p>
    <w:p w14:paraId="5C735B71">
      <w:pPr>
        <w:tabs>
          <w:tab w:val="left" w:pos="0"/>
        </w:tabs>
        <w:spacing w:line="560" w:lineRule="exact"/>
        <w:ind w:firstLine="640" w:firstLineChars="200"/>
        <w:outlineLvl w:val="1"/>
        <w:rPr>
          <w:rFonts w:eastAsia="仿宋_GB2312"/>
          <w:color w:val="000000"/>
          <w:sz w:val="32"/>
          <w:szCs w:val="32"/>
        </w:rPr>
      </w:pPr>
    </w:p>
    <w:p w14:paraId="5087E514">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1590" w:leftChars="300" w:hanging="960" w:hangingChars="300"/>
        <w:textAlignment w:val="auto"/>
        <w:outlineLvl w:val="1"/>
        <w:rPr>
          <w:rFonts w:hint="eastAsia" w:eastAsia="仿宋_GB2312"/>
          <w:color w:val="000000"/>
          <w:sz w:val="32"/>
          <w:szCs w:val="32"/>
        </w:rPr>
      </w:pPr>
      <w:r>
        <w:rPr>
          <w:rFonts w:hint="eastAsia" w:eastAsia="仿宋_GB2312"/>
          <w:color w:val="000000"/>
          <w:sz w:val="32"/>
          <w:szCs w:val="32"/>
        </w:rPr>
        <w:t>附件：</w:t>
      </w:r>
      <w:r>
        <w:rPr>
          <w:rFonts w:hint="eastAsia" w:eastAsia="仿宋_GB2312"/>
          <w:color w:val="000000"/>
          <w:sz w:val="32"/>
          <w:szCs w:val="32"/>
          <w:lang w:val="en-US" w:eastAsia="zh-CN"/>
        </w:rPr>
        <w:t>1.</w:t>
      </w:r>
      <w:r>
        <w:rPr>
          <w:rFonts w:hint="eastAsia" w:eastAsia="仿宋_GB2312"/>
          <w:color w:val="000000"/>
          <w:sz w:val="32"/>
          <w:szCs w:val="32"/>
        </w:rPr>
        <w:t>《关于加强四川新能源和新型并网主体涉网安全管理的通知（征求意见稿）》</w:t>
      </w:r>
    </w:p>
    <w:p w14:paraId="402F65EB">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1600" w:firstLineChars="500"/>
        <w:textAlignment w:val="auto"/>
        <w:outlineLvl w:val="1"/>
        <w:rPr>
          <w:rFonts w:hint="default" w:eastAsia="仿宋_GB2312"/>
          <w:color w:val="000000"/>
          <w:sz w:val="32"/>
          <w:szCs w:val="32"/>
          <w:lang w:val="en-US" w:eastAsia="zh-CN"/>
        </w:rPr>
      </w:pPr>
      <w:r>
        <w:rPr>
          <w:rFonts w:hint="eastAsia" w:eastAsia="仿宋_GB2312"/>
          <w:color w:val="000000"/>
          <w:sz w:val="32"/>
          <w:szCs w:val="32"/>
          <w:lang w:val="en-US" w:eastAsia="zh-CN"/>
        </w:rPr>
        <w:t>2.意见反馈表</w:t>
      </w:r>
    </w:p>
    <w:p w14:paraId="32652FA6">
      <w:pPr>
        <w:spacing w:line="560" w:lineRule="exact"/>
        <w:ind w:firstLine="640" w:firstLineChars="200"/>
        <w:jc w:val="right"/>
        <w:rPr>
          <w:rFonts w:eastAsia="仿宋_GB2312"/>
          <w:color w:val="000000"/>
          <w:sz w:val="32"/>
          <w:szCs w:val="32"/>
        </w:rPr>
      </w:pPr>
    </w:p>
    <w:p w14:paraId="6EE1B6BD">
      <w:pPr>
        <w:spacing w:line="560" w:lineRule="exact"/>
        <w:ind w:firstLine="640" w:firstLineChars="200"/>
        <w:jc w:val="right"/>
        <w:rPr>
          <w:rFonts w:eastAsia="仿宋_GB2312"/>
          <w:color w:val="000000"/>
          <w:sz w:val="32"/>
          <w:szCs w:val="32"/>
        </w:rPr>
      </w:pPr>
    </w:p>
    <w:p w14:paraId="642C5CC8">
      <w:pPr>
        <w:spacing w:line="560" w:lineRule="exact"/>
        <w:ind w:firstLine="640" w:firstLineChars="200"/>
        <w:jc w:val="center"/>
        <w:rPr>
          <w:rFonts w:eastAsia="仿宋_GB2312"/>
          <w:color w:val="000000"/>
          <w:sz w:val="32"/>
          <w:szCs w:val="32"/>
        </w:rPr>
      </w:pPr>
      <w:r>
        <w:rPr>
          <w:rFonts w:hint="eastAsia" w:eastAsia="仿宋_GB2312"/>
          <w:color w:val="000000"/>
          <w:sz w:val="32"/>
          <w:szCs w:val="32"/>
        </w:rPr>
        <w:t xml:space="preserve">                           四川能源监管办</w:t>
      </w:r>
    </w:p>
    <w:p w14:paraId="14F042B2">
      <w:pPr>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2025年</w:t>
      </w:r>
      <w:r>
        <w:rPr>
          <w:rFonts w:hint="eastAsia" w:eastAsia="仿宋_GB2312"/>
          <w:color w:val="000000"/>
          <w:sz w:val="32"/>
          <w:szCs w:val="32"/>
        </w:rPr>
        <w:t>3</w:t>
      </w:r>
      <w:r>
        <w:rPr>
          <w:rFonts w:eastAsia="仿宋_GB2312"/>
          <w:color w:val="000000"/>
          <w:sz w:val="32"/>
          <w:szCs w:val="32"/>
        </w:rPr>
        <w:t>月</w:t>
      </w:r>
      <w:r>
        <w:rPr>
          <w:rFonts w:hint="eastAsia" w:eastAsia="仿宋_GB2312"/>
          <w:color w:val="000000"/>
          <w:sz w:val="32"/>
          <w:szCs w:val="32"/>
          <w:lang w:val="en-US" w:eastAsia="zh-CN"/>
        </w:rPr>
        <w:t>21</w:t>
      </w:r>
      <w:r>
        <w:rPr>
          <w:rFonts w:eastAsia="仿宋_GB2312"/>
          <w:color w:val="000000"/>
          <w:sz w:val="32"/>
          <w:szCs w:val="32"/>
        </w:rPr>
        <w:t>日</w:t>
      </w:r>
    </w:p>
    <w:p w14:paraId="603B5891">
      <w:pPr>
        <w:sectPr>
          <w:pgSz w:w="11906" w:h="16838"/>
          <w:pgMar w:top="1440" w:right="1800" w:bottom="1440" w:left="1800" w:header="851" w:footer="992" w:gutter="0"/>
          <w:cols w:space="425" w:num="1"/>
          <w:docGrid w:type="lines" w:linePitch="312" w:charSpace="0"/>
        </w:sectPr>
      </w:pPr>
    </w:p>
    <w:p w14:paraId="5FC18B77">
      <w:pPr>
        <w:spacing w:line="590" w:lineRule="exact"/>
        <w:jc w:val="left"/>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bidi="ar"/>
        </w:rPr>
        <w:t>附件</w:t>
      </w:r>
      <w:r>
        <w:rPr>
          <w:rFonts w:hint="default" w:ascii="Times New Roman" w:hAnsi="Times New Roman" w:eastAsia="黑体" w:cs="Times New Roman"/>
          <w:sz w:val="32"/>
          <w:szCs w:val="32"/>
          <w:lang w:val="en-US" w:eastAsia="zh-CN" w:bidi="ar"/>
        </w:rPr>
        <w:t>1</w:t>
      </w:r>
    </w:p>
    <w:p w14:paraId="1F103770">
      <w:pPr>
        <w:spacing w:line="590" w:lineRule="exact"/>
        <w:jc w:val="left"/>
        <w:rPr>
          <w:rFonts w:ascii="黑体" w:hAnsi="黑体" w:eastAsia="黑体" w:cs="黑体"/>
          <w:sz w:val="28"/>
          <w:szCs w:val="28"/>
          <w:lang w:bidi="ar"/>
        </w:rPr>
      </w:pPr>
    </w:p>
    <w:p w14:paraId="4C2B8A0B">
      <w:pPr>
        <w:spacing w:line="590" w:lineRule="exact"/>
        <w:jc w:val="center"/>
        <w:rPr>
          <w:rFonts w:hint="eastAsia" w:ascii="小标宋" w:hAnsi="小标宋" w:eastAsia="小标宋" w:cs="小标宋"/>
          <w:sz w:val="44"/>
          <w:szCs w:val="44"/>
        </w:rPr>
      </w:pPr>
      <w:r>
        <w:rPr>
          <w:rFonts w:hint="eastAsia" w:ascii="小标宋" w:hAnsi="小标宋" w:eastAsia="小标宋" w:cs="小标宋"/>
          <w:sz w:val="44"/>
          <w:szCs w:val="44"/>
          <w:lang w:bidi="ar"/>
        </w:rPr>
        <w:t>关于加强四川新能源和新型并网主体涉网安全管理的通知（征求意见稿）</w:t>
      </w:r>
    </w:p>
    <w:p w14:paraId="3D5BB757">
      <w:pPr>
        <w:spacing w:line="580" w:lineRule="exact"/>
        <w:ind w:firstLine="640" w:firstLineChars="200"/>
        <w:jc w:val="left"/>
        <w:rPr>
          <w:rFonts w:ascii="黑体" w:hAnsi="黑体" w:eastAsia="黑体" w:cs="黑体"/>
          <w:sz w:val="32"/>
          <w:szCs w:val="40"/>
        </w:rPr>
      </w:pPr>
    </w:p>
    <w:p w14:paraId="02955B4D">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各市（州）电力安全监管部门，各电力企业：</w:t>
      </w:r>
    </w:p>
    <w:p w14:paraId="36DC5285">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为认真落实习近平总书记关于安全生产重要指示批示精神，深入贯彻“四个革命、一个合作”能源安全新战略，按照《国家发展改革委 国家能源局关于加强新形势下电力系统稳定工作的指导意见》（发改能源〔2023〕1294号）《国家发展改革委 国家能源局关于加强电网调峰储能和智能化调度能力建设的指导意见》《国家能源局关于提升新能源和新型并网主体涉网安全能力服务新型电力系统高质量发展的通知》（国能发安全〔2024〕79号）等相关工作要求，进一步提升新能源和新型并网主体涉网安全能力，科学界定涉网安全管理范围，切实加强涉网安全管理，保障四川电网安全稳定运行，</w:t>
      </w:r>
      <w:r>
        <w:rPr>
          <w:rFonts w:hint="default" w:ascii="Times New Roman" w:hAnsi="Times New Roman" w:eastAsia="仿宋_GB2312" w:cs="Times New Roman"/>
          <w:sz w:val="32"/>
          <w:szCs w:val="32"/>
          <w:lang w:bidi="ar"/>
        </w:rPr>
        <w:t>现就有关事项通知如下。</w:t>
      </w:r>
    </w:p>
    <w:p w14:paraId="3D567EFA">
      <w:pPr>
        <w:spacing w:line="580" w:lineRule="exact"/>
        <w:ind w:firstLine="640" w:firstLineChars="200"/>
        <w:jc w:val="left"/>
        <w:rPr>
          <w:rFonts w:hint="eastAsia" w:ascii="黑体" w:hAnsi="黑体" w:eastAsia="黑体" w:cs="黑体"/>
          <w:sz w:val="32"/>
          <w:szCs w:val="40"/>
        </w:rPr>
      </w:pPr>
      <w:r>
        <w:rPr>
          <w:rFonts w:hint="eastAsia" w:ascii="黑体" w:hAnsi="黑体" w:eastAsia="黑体" w:cs="黑体"/>
          <w:sz w:val="32"/>
          <w:szCs w:val="40"/>
        </w:rPr>
        <w:t>一、职责分工</w:t>
      </w:r>
    </w:p>
    <w:p w14:paraId="3A521250">
      <w:pPr>
        <w:spacing w:line="580" w:lineRule="exact"/>
        <w:ind w:firstLine="643"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b/>
          <w:bCs/>
          <w:sz w:val="32"/>
          <w:szCs w:val="32"/>
        </w:rPr>
        <w:t>各市（州）及县级电力安全监管部门</w:t>
      </w:r>
      <w:r>
        <w:rPr>
          <w:rFonts w:hint="eastAsia" w:ascii="仿宋_GB2312" w:hAnsi="方正仿宋_GBK" w:eastAsia="仿宋_GB2312" w:cs="方正仿宋_GBK"/>
          <w:sz w:val="32"/>
          <w:szCs w:val="32"/>
        </w:rPr>
        <w:t>要按照“管行业必须管安全”原则，严格落实属地监管责任，分层分级监督指导辖区内电力调度机构做好新能源和新型并网主体涉网安全管理工作，定期督促辖区内电力企业开展涉网安全隐患排查治理，确保涉网安全要求落到实处。</w:t>
      </w:r>
      <w:r>
        <w:rPr>
          <w:rFonts w:hint="eastAsia" w:ascii="仿宋_GB2312" w:hAnsi="方正仿宋_GBK" w:eastAsia="仿宋_GB2312" w:cs="方正仿宋_GBK"/>
          <w:b/>
          <w:bCs/>
          <w:sz w:val="32"/>
          <w:szCs w:val="32"/>
        </w:rPr>
        <w:t>纳入涉网安全管理范围的新能源和新型并网主体的业主（单位）</w:t>
      </w:r>
      <w:r>
        <w:rPr>
          <w:rFonts w:hint="eastAsia" w:ascii="仿宋_GB2312" w:hAnsi="方正仿宋_GBK" w:eastAsia="仿宋_GB2312" w:cs="方正仿宋_GBK"/>
          <w:sz w:val="32"/>
          <w:szCs w:val="32"/>
        </w:rPr>
        <w:t>是涉网安全管理第一责任主体，必须严格落实安全主体责任，接受电力调度机构统一调度，</w:t>
      </w:r>
      <w:r>
        <w:rPr>
          <w:rFonts w:hint="eastAsia" w:ascii="仿宋_GB2312" w:hAnsi="方正仿宋_GBK" w:eastAsia="仿宋_GB2312" w:cs="方正仿宋_GBK"/>
          <w:sz w:val="32"/>
          <w:szCs w:val="32"/>
          <w:lang w:bidi="ar"/>
        </w:rPr>
        <w:t>执行涉网安全管理规章制度，满足系统安全稳定运行需求。</w:t>
      </w:r>
      <w:r>
        <w:rPr>
          <w:rFonts w:hint="eastAsia" w:ascii="仿宋_GB2312" w:hAnsi="方正仿宋_GBK" w:eastAsia="仿宋_GB2312" w:cs="方正仿宋_GBK"/>
          <w:b/>
          <w:spacing w:val="-6"/>
          <w:sz w:val="32"/>
          <w:szCs w:val="32"/>
          <w:lang w:bidi="ar"/>
        </w:rPr>
        <w:t>电网企业</w:t>
      </w:r>
      <w:r>
        <w:rPr>
          <w:rFonts w:hint="eastAsia" w:ascii="仿宋_GB2312" w:hAnsi="方正仿宋_GBK" w:eastAsia="仿宋_GB2312" w:cs="方正仿宋_GBK"/>
          <w:spacing w:val="-6"/>
          <w:sz w:val="32"/>
          <w:szCs w:val="32"/>
          <w:lang w:bidi="ar"/>
        </w:rPr>
        <w:t>要加强电网安全风险管控，为并网主体安全并网提供保障，</w:t>
      </w:r>
      <w:r>
        <w:rPr>
          <w:rFonts w:hint="eastAsia" w:ascii="仿宋_GB2312" w:hAnsi="方正仿宋_GBK" w:eastAsia="仿宋_GB2312" w:cs="方正仿宋_GBK"/>
          <w:sz w:val="32"/>
          <w:szCs w:val="32"/>
          <w:lang w:bidi="ar"/>
        </w:rPr>
        <w:t>督促指导新能源和新型并网主体的</w:t>
      </w:r>
      <w:r>
        <w:rPr>
          <w:rFonts w:hint="eastAsia" w:ascii="仿宋_GB2312" w:hAnsi="方正仿宋_GBK" w:eastAsia="仿宋_GB2312" w:cs="方正仿宋_GBK"/>
          <w:sz w:val="32"/>
          <w:szCs w:val="32"/>
          <w:lang w:val="en-US" w:eastAsia="zh-CN" w:bidi="ar"/>
        </w:rPr>
        <w:t>业主（单位）</w:t>
      </w:r>
      <w:r>
        <w:rPr>
          <w:rFonts w:hint="eastAsia" w:ascii="仿宋_GB2312" w:hAnsi="方正仿宋_GBK" w:eastAsia="仿宋_GB2312" w:cs="方正仿宋_GBK"/>
          <w:sz w:val="32"/>
          <w:szCs w:val="32"/>
          <w:lang w:bidi="ar"/>
        </w:rPr>
        <w:t>履行</w:t>
      </w:r>
      <w:r>
        <w:rPr>
          <w:rFonts w:hint="eastAsia" w:ascii="仿宋_GB2312" w:hAnsi="方正仿宋_GBK" w:eastAsia="仿宋_GB2312" w:cs="方正仿宋_GBK"/>
          <w:sz w:val="32"/>
          <w:szCs w:val="32"/>
          <w:lang w:val="en-US" w:eastAsia="zh-CN" w:bidi="ar"/>
        </w:rPr>
        <w:t>涉网</w:t>
      </w:r>
      <w:r>
        <w:rPr>
          <w:rFonts w:hint="eastAsia" w:ascii="仿宋_GB2312" w:hAnsi="方正仿宋_GBK" w:eastAsia="仿宋_GB2312" w:cs="方正仿宋_GBK"/>
          <w:sz w:val="32"/>
          <w:szCs w:val="32"/>
          <w:lang w:bidi="ar"/>
        </w:rPr>
        <w:t>安全主体责任。</w:t>
      </w:r>
      <w:r>
        <w:rPr>
          <w:rFonts w:hint="eastAsia" w:ascii="仿宋_GB2312" w:hAnsi="方正仿宋_GBK" w:eastAsia="仿宋_GB2312" w:cs="方正仿宋_GBK"/>
          <w:b/>
          <w:sz w:val="32"/>
          <w:szCs w:val="32"/>
          <w:lang w:bidi="ar"/>
        </w:rPr>
        <w:t>电力调度机构</w:t>
      </w:r>
      <w:r>
        <w:rPr>
          <w:rFonts w:hint="eastAsia" w:ascii="仿宋_GB2312" w:hAnsi="方正仿宋_GBK" w:eastAsia="仿宋_GB2312" w:cs="方正仿宋_GBK"/>
          <w:b w:val="0"/>
          <w:bCs/>
          <w:sz w:val="32"/>
          <w:szCs w:val="32"/>
          <w:lang w:bidi="ar"/>
        </w:rPr>
        <w:t>要严格履行并网管理、运行控制、风险管理</w:t>
      </w:r>
      <w:r>
        <w:rPr>
          <w:rFonts w:hint="eastAsia" w:ascii="仿宋_GB2312" w:hAnsi="方正仿宋_GBK" w:eastAsia="仿宋_GB2312" w:cs="方正仿宋_GBK"/>
          <w:sz w:val="32"/>
          <w:szCs w:val="32"/>
          <w:lang w:bidi="ar"/>
        </w:rPr>
        <w:t>和涉网安全技术监督安全职责，加强</w:t>
      </w:r>
      <w:r>
        <w:rPr>
          <w:rFonts w:hint="eastAsia" w:ascii="仿宋_GB2312" w:hAnsi="方正仿宋_GBK" w:eastAsia="仿宋_GB2312" w:cs="方正仿宋_GBK"/>
          <w:sz w:val="32"/>
          <w:szCs w:val="32"/>
        </w:rPr>
        <w:t>对新能源和新型并网主体统一调度管理，</w:t>
      </w:r>
      <w:r>
        <w:rPr>
          <w:rFonts w:hint="eastAsia" w:ascii="仿宋_GB2312" w:hAnsi="方正仿宋_GBK" w:eastAsia="仿宋_GB2312" w:cs="方正仿宋_GBK"/>
          <w:sz w:val="32"/>
          <w:szCs w:val="32"/>
          <w:lang w:bidi="ar"/>
        </w:rPr>
        <w:t>按照国家有关法律及技术标准要求，明确并网要求和管理流程，前置参与并网主体接入系统评审，</w:t>
      </w:r>
      <w:r>
        <w:rPr>
          <w:rFonts w:hint="eastAsia" w:ascii="仿宋_GB2312" w:hAnsi="方正仿宋_GBK" w:eastAsia="仿宋_GB2312" w:cs="方正仿宋_GBK"/>
          <w:sz w:val="32"/>
          <w:szCs w:val="32"/>
        </w:rPr>
        <w:t>严把涉网设备入网关</w:t>
      </w:r>
      <w:r>
        <w:rPr>
          <w:rFonts w:hint="eastAsia" w:ascii="仿宋_GB2312" w:hAnsi="方正仿宋_GBK" w:eastAsia="仿宋_GB2312" w:cs="方正仿宋_GBK"/>
          <w:sz w:val="32"/>
          <w:szCs w:val="32"/>
          <w:lang w:bidi="ar"/>
        </w:rPr>
        <w:t>。省级电力调度机构牵头组织各级电力调度机构排查汇总已纳入涉网安全管理范围但暂不满足涉网管理要求的存量新能源和新型并网主体，在各级电力安全监管部门的指导下，督促并网主体科学制定改造计划，分别于4月</w:t>
      </w:r>
      <w:r>
        <w:rPr>
          <w:rFonts w:hint="eastAsia" w:ascii="仿宋_GB2312" w:hAnsi="方正仿宋_GBK" w:eastAsia="仿宋_GB2312" w:cs="方正仿宋_GBK"/>
          <w:sz w:val="32"/>
          <w:szCs w:val="32"/>
          <w:lang w:val="en-US" w:eastAsia="zh-CN" w:bidi="ar"/>
        </w:rPr>
        <w:t>30</w:t>
      </w:r>
      <w:r>
        <w:rPr>
          <w:rFonts w:hint="eastAsia" w:ascii="仿宋_GB2312" w:hAnsi="方正仿宋_GBK" w:eastAsia="仿宋_GB2312" w:cs="方正仿宋_GBK"/>
          <w:sz w:val="32"/>
          <w:szCs w:val="32"/>
          <w:lang w:bidi="ar"/>
        </w:rPr>
        <w:t>日和5月</w:t>
      </w:r>
      <w:r>
        <w:rPr>
          <w:rFonts w:hint="eastAsia" w:ascii="仿宋_GB2312" w:hAnsi="方正仿宋_GBK" w:eastAsia="仿宋_GB2312" w:cs="方正仿宋_GBK"/>
          <w:sz w:val="32"/>
          <w:szCs w:val="32"/>
          <w:lang w:val="en-US" w:eastAsia="zh-CN" w:bidi="ar"/>
        </w:rPr>
        <w:t>30</w:t>
      </w:r>
      <w:r>
        <w:rPr>
          <w:rFonts w:hint="eastAsia" w:ascii="仿宋_GB2312" w:hAnsi="方正仿宋_GBK" w:eastAsia="仿宋_GB2312" w:cs="方正仿宋_GBK"/>
          <w:sz w:val="32"/>
          <w:szCs w:val="32"/>
          <w:lang w:bidi="ar"/>
        </w:rPr>
        <w:t>日前将排查情况和改造计划报四川能源监管办和四川省能源局。各责任主体遇重大问题及时报告。</w:t>
      </w:r>
    </w:p>
    <w:p w14:paraId="79956A90">
      <w:pPr>
        <w:spacing w:line="580" w:lineRule="exact"/>
        <w:ind w:firstLine="640" w:firstLineChars="200"/>
        <w:jc w:val="left"/>
        <w:rPr>
          <w:rFonts w:hint="eastAsia" w:ascii="黑体" w:hAnsi="黑体" w:eastAsia="黑体" w:cs="黑体"/>
          <w:sz w:val="32"/>
          <w:szCs w:val="40"/>
        </w:rPr>
      </w:pPr>
      <w:r>
        <w:rPr>
          <w:rFonts w:hint="eastAsia" w:ascii="黑体" w:hAnsi="黑体" w:eastAsia="黑体" w:cs="黑体"/>
          <w:sz w:val="32"/>
          <w:szCs w:val="40"/>
        </w:rPr>
        <w:t>二、管理范围</w:t>
      </w:r>
    </w:p>
    <w:p w14:paraId="74261EE7">
      <w:pPr>
        <w:spacing w:line="580" w:lineRule="exact"/>
        <w:ind w:firstLine="643"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（一）基本原则。</w:t>
      </w:r>
      <w:r>
        <w:rPr>
          <w:rFonts w:hint="eastAsia" w:ascii="仿宋_GB2312" w:hAnsi="方正仿宋_GBK" w:eastAsia="仿宋_GB2312" w:cs="方正仿宋_GBK"/>
          <w:sz w:val="32"/>
          <w:szCs w:val="32"/>
        </w:rPr>
        <w:t>统一调度、分级管理。按照“谁签订、谁负责”的原则，与电力调度机构签订并网调度协议的新能源和新型并网主体应纳入涉网安全管理范围，并网调度协议中应包含电网企业和发电企业涉网安全管理主要内容和责任义务。对纳入涉网安全管理范围的并网主体，上级调度机构应指导下级调度机构做好涉网安全管理工作；尚未纳入涉网安全管理范围的并网主体，要严格落实涉网安全责任，参照执行涉网安全管理规章制度，电网企业要加强并网管理。</w:t>
      </w:r>
    </w:p>
    <w:p w14:paraId="757C8936">
      <w:pPr>
        <w:spacing w:line="580" w:lineRule="exact"/>
        <w:ind w:firstLine="643"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（二）纳入涉网安全管理范围的新能源及新型并网主体</w:t>
      </w:r>
    </w:p>
    <w:p w14:paraId="45A8E237">
      <w:pPr>
        <w:spacing w:line="58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应纳入涉网安全管理范围的新能源及新型并网主体包括：接入10kV及以上电压等级并网的光伏发电站、风力发电场、光伏发电系统；装机规模为10MW且容量为20MWh及以上的电化学储能电站，或者接入10</w:t>
      </w:r>
      <w:r>
        <w:rPr>
          <w:rFonts w:hint="eastAsia" w:ascii="仿宋_GB2312" w:hAnsi="方正仿宋_GBK" w:eastAsia="仿宋_GB2312" w:cs="方正仿宋_GBK"/>
          <w:sz w:val="32"/>
          <w:szCs w:val="32"/>
          <w:lang w:val="en-US" w:eastAsia="zh-CN"/>
        </w:rPr>
        <w:t>kV</w:t>
      </w:r>
      <w:r>
        <w:rPr>
          <w:rFonts w:hint="eastAsia" w:ascii="仿宋_GB2312" w:hAnsi="方正仿宋_GBK" w:eastAsia="仿宋_GB2312" w:cs="方正仿宋_GBK"/>
          <w:sz w:val="32"/>
          <w:szCs w:val="32"/>
        </w:rPr>
        <w:t>及以上电压等级公用电网的电化学储能电站，压缩空气、飞轮等其他新型储能参照执行；容量不低于5MW，向上或向下调节能力不低于5MW，持续时间不低于1小时的可调节负荷（虚拟电厂、负荷聚合商等形式）。其他新能源及新型并网主体由电力调度机构会同电网企业综合考虑并网主体的类型、容量规模、接入电压等级、系统运行特性及安全需要决定是否参照涉网安全管理要求执行。</w:t>
      </w:r>
    </w:p>
    <w:p w14:paraId="7AFB2CB9">
      <w:pPr>
        <w:spacing w:line="580" w:lineRule="exact"/>
        <w:ind w:firstLine="643"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（三）应纳入</w:t>
      </w:r>
      <w:r>
        <w:rPr>
          <w:rFonts w:hint="eastAsia" w:ascii="仿宋_GB2312" w:hAnsi="方正仿宋_GBK" w:eastAsia="仿宋_GB2312" w:cs="方正仿宋_GBK"/>
          <w:b/>
          <w:bCs/>
          <w:sz w:val="32"/>
          <w:szCs w:val="32"/>
          <w:lang w:bidi="ar"/>
        </w:rPr>
        <w:t>涉网安全管理的</w:t>
      </w:r>
      <w:r>
        <w:rPr>
          <w:rFonts w:hint="eastAsia" w:ascii="仿宋_GB2312" w:hAnsi="方正仿宋_GBK" w:eastAsia="仿宋_GB2312" w:cs="方正仿宋_GBK"/>
          <w:b/>
          <w:bCs/>
          <w:sz w:val="32"/>
          <w:szCs w:val="32"/>
        </w:rPr>
        <w:t>设备范围</w:t>
      </w:r>
    </w:p>
    <w:p w14:paraId="10EF9FC2">
      <w:pPr>
        <w:spacing w:line="580" w:lineRule="exact"/>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集中式风电、光伏场站应纳入涉网安全管理的设备范围包括发电设备本体、集电线路、升压站站内设备以及相关继电保护、安全稳定控制装置和通信设备，远端汇集站从升压站至并网点的输电线路及相关设备。分布式新能源应纳入涉网安全管理的设备范围包括发电单元、接入配电网的并网点开关、计量装置、保护设备以及相关的通信和监控设备。新型储能类应纳入涉网安全管理的设备范围包括设备管理系统（如BMS)、能量管理系统（EMS）、储能变流器（PCS）、升压变压器、相关的控制保护设备以及与电网连接的通信和计量装置等。虚拟电厂类并网主体应纳入涉网安全管理的设备范围应包括虚拟电厂管理平台、分布式能源资源（包括分布式发电、储能、可调节负荷等）的通信设备、控制终端以及参与电网调度和运行控制的相关软件硬件设施等，虚拟电厂内部接入的电源，要按照并网电源要求进行涉网安全管理，虚拟电厂整体执行运行管理要求。</w:t>
      </w:r>
    </w:p>
    <w:p w14:paraId="53D09457">
      <w:pPr>
        <w:spacing w:line="580" w:lineRule="exact"/>
        <w:ind w:firstLine="640" w:firstLineChars="200"/>
        <w:jc w:val="left"/>
        <w:rPr>
          <w:rFonts w:hint="eastAsia" w:ascii="黑体" w:hAnsi="黑体" w:eastAsia="黑体" w:cs="黑体"/>
          <w:sz w:val="32"/>
          <w:szCs w:val="40"/>
        </w:rPr>
      </w:pPr>
      <w:r>
        <w:rPr>
          <w:rFonts w:hint="eastAsia" w:ascii="黑体" w:hAnsi="黑体" w:eastAsia="黑体" w:cs="黑体"/>
          <w:sz w:val="32"/>
          <w:szCs w:val="40"/>
        </w:rPr>
        <w:t>三、重点工作</w:t>
      </w:r>
    </w:p>
    <w:p w14:paraId="03D7B6A9">
      <w:pPr>
        <w:spacing w:line="580" w:lineRule="exact"/>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涉网安全管理应统筹考虑各电源型并网主体对电网电源平衡、频率稳定、电压调节、电能质量、系统惯量与短路容量、抑制宽频振荡等方面的影响及各负荷型并网主体对电网负荷特性、需求响应能力等方面的影响，加强相关设备安全、控制策略、技术特性、运行参数的管理，重点满足网源协调相关技术标准规范、辖区电网安全运行、监控系统网络安全以及涉网风险管控等工作要求，包括责任落实、涉网性能、参数管理、并网接入、并网运行管理、存量主体涉网性能改造等六</w:t>
      </w:r>
      <w:r>
        <w:rPr>
          <w:rFonts w:hint="eastAsia" w:ascii="仿宋_GB2312" w:hAnsi="方正仿宋_GBK" w:eastAsia="仿宋_GB2312" w:cs="方正仿宋_GBK"/>
          <w:sz w:val="32"/>
          <w:szCs w:val="32"/>
          <w:lang w:val="en-US" w:eastAsia="zh-CN" w:bidi="ar"/>
        </w:rPr>
        <w:t>方面</w:t>
      </w:r>
      <w:r>
        <w:rPr>
          <w:rFonts w:hint="eastAsia" w:ascii="仿宋_GB2312" w:hAnsi="方正仿宋_GBK" w:eastAsia="仿宋_GB2312" w:cs="方正仿宋_GBK"/>
          <w:sz w:val="32"/>
          <w:szCs w:val="32"/>
          <w:lang w:bidi="ar"/>
        </w:rPr>
        <w:t>，具体工作及责任单位详见新能源和新型并网主体涉网安全管理重点工作清单（附件）。</w:t>
      </w:r>
    </w:p>
    <w:p w14:paraId="058717D6">
      <w:pPr>
        <w:spacing w:line="580" w:lineRule="exact"/>
        <w:ind w:firstLine="640" w:firstLineChars="200"/>
        <w:jc w:val="left"/>
        <w:rPr>
          <w:rFonts w:hint="eastAsia" w:ascii="黑体" w:hAnsi="黑体" w:eastAsia="黑体" w:cs="黑体"/>
          <w:sz w:val="32"/>
          <w:szCs w:val="40"/>
        </w:rPr>
      </w:pPr>
      <w:r>
        <w:rPr>
          <w:rFonts w:hint="eastAsia" w:ascii="黑体" w:hAnsi="黑体" w:eastAsia="黑体" w:cs="黑体"/>
          <w:sz w:val="32"/>
          <w:szCs w:val="40"/>
        </w:rPr>
        <w:t>四、工作要求</w:t>
      </w:r>
    </w:p>
    <w:p w14:paraId="2AAA2730">
      <w:pPr>
        <w:spacing w:line="580" w:lineRule="exact"/>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加强新能源和新型并网主体涉网安全管理是一项长期性、系统性、全局性工作，是服务新型电力系统高质量发展的基础和前提，各并网主体要高度重视涉网安全管理工作，紧扣新形势下能源转型和电力保供目标，以高度的责任感和使命感，创新安全管理模式，有效管控安全风险，坚决防范并网安全事故发生。</w:t>
      </w:r>
    </w:p>
    <w:p w14:paraId="208DA8AD">
      <w:pPr>
        <w:spacing w:line="580" w:lineRule="exact"/>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请各市（州）电力管理部门将此通知转发各县级电力安全监管部门，并分层分级落实有关要求。</w:t>
      </w:r>
    </w:p>
    <w:p w14:paraId="758CBF8C">
      <w:pPr>
        <w:spacing w:line="580" w:lineRule="exact"/>
        <w:ind w:firstLine="640" w:firstLineChars="200"/>
        <w:rPr>
          <w:rFonts w:ascii="仿宋_GB2312" w:hAnsi="方正仿宋_GBK" w:eastAsia="仿宋_GB2312" w:cs="方正仿宋_GBK"/>
          <w:sz w:val="32"/>
          <w:szCs w:val="32"/>
          <w:lang w:bidi="ar"/>
        </w:rPr>
      </w:pPr>
    </w:p>
    <w:p w14:paraId="339D61BC">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方正仿宋_GBK" w:eastAsia="仿宋_GB2312" w:cs="方正仿宋_GBK"/>
          <w:spacing w:val="-6"/>
          <w:sz w:val="32"/>
          <w:szCs w:val="32"/>
          <w:lang w:bidi="ar"/>
        </w:rPr>
      </w:pPr>
      <w:r>
        <w:rPr>
          <w:rFonts w:hint="eastAsia" w:ascii="仿宋_GB2312" w:hAnsi="方正仿宋_GBK" w:eastAsia="仿宋_GB2312" w:cs="方正仿宋_GBK"/>
          <w:spacing w:val="-6"/>
          <w:sz w:val="32"/>
          <w:szCs w:val="32"/>
          <w:lang w:bidi="ar"/>
        </w:rPr>
        <w:t>附件：新能源和新型并网主体涉网安全管理重点工作清单</w:t>
      </w:r>
    </w:p>
    <w:p w14:paraId="37BB3726">
      <w:pPr>
        <w:spacing w:line="580" w:lineRule="exact"/>
        <w:ind w:firstLine="640" w:firstLineChars="200"/>
        <w:rPr>
          <w:rFonts w:ascii="仿宋_GB2312" w:hAnsi="方正仿宋_GBK" w:eastAsia="仿宋_GB2312" w:cs="方正仿宋_GBK"/>
          <w:sz w:val="32"/>
          <w:szCs w:val="32"/>
          <w:lang w:bidi="ar"/>
        </w:rPr>
      </w:pPr>
    </w:p>
    <w:p w14:paraId="567D820D">
      <w:pPr>
        <w:spacing w:line="580" w:lineRule="exact"/>
        <w:ind w:firstLine="640" w:firstLineChars="200"/>
        <w:rPr>
          <w:rFonts w:ascii="仿宋_GB2312" w:hAnsi="方正仿宋_GBK" w:eastAsia="仿宋_GB2312" w:cs="方正仿宋_GBK"/>
          <w:sz w:val="32"/>
          <w:szCs w:val="32"/>
          <w:lang w:bidi="ar"/>
        </w:rPr>
      </w:pPr>
    </w:p>
    <w:p w14:paraId="3EB5BFBF">
      <w:pPr>
        <w:spacing w:line="580" w:lineRule="exact"/>
        <w:ind w:firstLine="640" w:firstLineChars="200"/>
        <w:rPr>
          <w:rFonts w:ascii="仿宋_GB2312" w:hAnsi="方正仿宋_GBK" w:eastAsia="仿宋_GB2312" w:cs="方正仿宋_GBK"/>
          <w:sz w:val="32"/>
          <w:szCs w:val="32"/>
          <w:lang w:bidi="ar"/>
        </w:rPr>
      </w:pPr>
    </w:p>
    <w:p w14:paraId="243F7C15">
      <w:pPr>
        <w:pStyle w:val="7"/>
        <w:wordWrap w:val="0"/>
        <w:spacing w:line="560" w:lineRule="exact"/>
        <w:ind w:firstLine="0" w:firstLineChars="0"/>
        <w:rPr>
          <w:rFonts w:hint="default" w:ascii="仿宋_GB2312" w:hAnsi="方正仿宋_GBK" w:eastAsia="仿宋_GB2312" w:cs="方正仿宋_GBK"/>
          <w:sz w:val="32"/>
          <w:szCs w:val="32"/>
        </w:rPr>
      </w:pPr>
      <w:r>
        <w:rPr>
          <w:rFonts w:ascii="仿宋_GB2312" w:hAnsi="方正仿宋_GBK" w:eastAsia="仿宋_GB2312" w:cs="方正仿宋_GBK"/>
          <w:sz w:val="32"/>
          <w:szCs w:val="32"/>
        </w:rPr>
        <w:t xml:space="preserve">                                    四川能源监管办</w:t>
      </w:r>
    </w:p>
    <w:p w14:paraId="3287EBD9">
      <w:pPr>
        <w:pStyle w:val="7"/>
        <w:spacing w:line="560" w:lineRule="exact"/>
        <w:ind w:firstLine="0" w:firstLineChars="0"/>
        <w:jc w:val="center"/>
        <w:rPr>
          <w:rFonts w:hint="default" w:ascii="仿宋_GB2312" w:hAnsi="方正仿宋_GBK" w:eastAsia="仿宋_GB2312" w:cs="方正仿宋_GBK"/>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_GB2312" w:hAnsi="方正仿宋_GBK" w:eastAsia="仿宋_GB2312" w:cs="方正仿宋_GBK"/>
          <w:sz w:val="32"/>
          <w:szCs w:val="32"/>
        </w:rPr>
        <w:t xml:space="preserve">                                   2025年x月xx日</w:t>
      </w:r>
    </w:p>
    <w:p w14:paraId="3FE6FF60">
      <w:pPr>
        <w:spacing w:before="106" w:line="219" w:lineRule="auto"/>
        <w:ind w:left="0"/>
        <w:rPr>
          <w:rFonts w:hint="eastAsia" w:ascii="黑体" w:hAnsi="黑体" w:eastAsia="黑体" w:cs="黑体"/>
          <w:sz w:val="32"/>
          <w:szCs w:val="32"/>
        </w:rPr>
      </w:pPr>
      <w:r>
        <w:rPr>
          <w:rFonts w:hint="eastAsia" w:ascii="黑体" w:hAnsi="黑体" w:eastAsia="黑体" w:cs="黑体"/>
          <w:spacing w:val="0"/>
          <w:sz w:val="32"/>
          <w:szCs w:val="32"/>
          <w:lang w:bidi="ar"/>
        </w:rPr>
        <w:t>附件</w:t>
      </w:r>
    </w:p>
    <w:p w14:paraId="1BDFEDF4">
      <w:pPr>
        <w:spacing w:before="375" w:line="219" w:lineRule="auto"/>
        <w:jc w:val="center"/>
        <w:rPr>
          <w:rFonts w:ascii="宋体" w:hAnsi="宋体" w:cs="宋体"/>
          <w:b/>
          <w:bCs/>
          <w:spacing w:val="18"/>
          <w:sz w:val="44"/>
          <w:szCs w:val="44"/>
        </w:rPr>
      </w:pPr>
      <w:r>
        <w:rPr>
          <w:rFonts w:ascii="宋体" w:hAnsi="宋体" w:cs="宋体"/>
          <w:b/>
          <w:bCs/>
          <w:spacing w:val="18"/>
          <w:sz w:val="44"/>
          <w:szCs w:val="44"/>
        </w:rPr>
        <w:t>新能源和新型并网主体涉网安全管理重点</w:t>
      </w:r>
      <w:r>
        <w:rPr>
          <w:rFonts w:hint="eastAsia" w:ascii="宋体" w:hAnsi="宋体" w:cs="宋体"/>
          <w:b/>
          <w:bCs/>
          <w:spacing w:val="18"/>
          <w:sz w:val="44"/>
          <w:szCs w:val="44"/>
        </w:rPr>
        <w:t>工作</w:t>
      </w:r>
      <w:r>
        <w:rPr>
          <w:rFonts w:ascii="宋体" w:hAnsi="宋体" w:cs="宋体"/>
          <w:b/>
          <w:bCs/>
          <w:spacing w:val="18"/>
          <w:sz w:val="44"/>
          <w:szCs w:val="44"/>
        </w:rPr>
        <w:t>清单</w:t>
      </w:r>
    </w:p>
    <w:p w14:paraId="78B86894">
      <w:pPr>
        <w:spacing w:line="179" w:lineRule="exact"/>
      </w:pPr>
    </w:p>
    <w:tbl>
      <w:tblPr>
        <w:tblStyle w:val="14"/>
        <w:tblW w:w="139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2842"/>
        <w:gridCol w:w="7963"/>
        <w:gridCol w:w="2492"/>
      </w:tblGrid>
      <w:tr w14:paraId="353A7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vAlign w:val="center"/>
          </w:tcPr>
          <w:p w14:paraId="5590E5C8">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黑体" w:hAnsi="黑体" w:eastAsia="黑体" w:cs="黑体"/>
                <w:sz w:val="24"/>
                <w:szCs w:val="24"/>
              </w:rPr>
            </w:pPr>
            <w:r>
              <w:rPr>
                <w:rFonts w:hint="eastAsia" w:ascii="黑体" w:hAnsi="黑体" w:eastAsia="黑体" w:cs="黑体"/>
                <w:spacing w:val="13"/>
                <w:sz w:val="24"/>
                <w:szCs w:val="24"/>
              </w:rPr>
              <w:t>序号</w:t>
            </w:r>
          </w:p>
        </w:tc>
        <w:tc>
          <w:tcPr>
            <w:tcW w:w="2842" w:type="dxa"/>
            <w:vAlign w:val="center"/>
          </w:tcPr>
          <w:p w14:paraId="32CC18C7">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黑体" w:hAnsi="黑体" w:eastAsia="黑体" w:cs="黑体"/>
                <w:sz w:val="24"/>
                <w:szCs w:val="24"/>
                <w:lang w:eastAsia="zh-CN"/>
              </w:rPr>
            </w:pPr>
            <w:r>
              <w:rPr>
                <w:rFonts w:hint="eastAsia" w:ascii="黑体" w:hAnsi="黑体" w:eastAsia="黑体" w:cs="黑体"/>
                <w:spacing w:val="-1"/>
                <w:sz w:val="24"/>
                <w:szCs w:val="24"/>
              </w:rPr>
              <w:t>重点</w:t>
            </w:r>
            <w:r>
              <w:rPr>
                <w:rFonts w:hint="eastAsia" w:ascii="黑体" w:hAnsi="黑体" w:eastAsia="黑体" w:cs="黑体"/>
                <w:spacing w:val="-1"/>
                <w:sz w:val="24"/>
                <w:szCs w:val="24"/>
                <w:lang w:eastAsia="zh-CN"/>
              </w:rPr>
              <w:t>工作方面</w:t>
            </w:r>
          </w:p>
        </w:tc>
        <w:tc>
          <w:tcPr>
            <w:tcW w:w="7963" w:type="dxa"/>
            <w:vAlign w:val="center"/>
          </w:tcPr>
          <w:p w14:paraId="5ADF4C14">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黑体" w:hAnsi="黑体" w:eastAsia="黑体" w:cs="黑体"/>
                <w:sz w:val="24"/>
                <w:szCs w:val="24"/>
              </w:rPr>
            </w:pPr>
            <w:r>
              <w:rPr>
                <w:rFonts w:hint="eastAsia" w:ascii="黑体" w:hAnsi="黑体" w:eastAsia="黑体" w:cs="黑体"/>
                <w:b/>
                <w:bCs/>
                <w:spacing w:val="-3"/>
                <w:sz w:val="24"/>
                <w:szCs w:val="24"/>
              </w:rPr>
              <w:t>具体工作内容</w:t>
            </w:r>
          </w:p>
        </w:tc>
        <w:tc>
          <w:tcPr>
            <w:tcW w:w="2492" w:type="dxa"/>
            <w:vAlign w:val="center"/>
          </w:tcPr>
          <w:p w14:paraId="4376878A">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黑体" w:hAnsi="黑体" w:eastAsia="黑体" w:cs="黑体"/>
                <w:sz w:val="24"/>
                <w:szCs w:val="24"/>
              </w:rPr>
            </w:pPr>
            <w:r>
              <w:rPr>
                <w:rFonts w:hint="eastAsia" w:ascii="黑体" w:hAnsi="黑体" w:eastAsia="黑体" w:cs="黑体"/>
                <w:spacing w:val="4"/>
                <w:sz w:val="24"/>
                <w:szCs w:val="24"/>
              </w:rPr>
              <w:t>责任单位</w:t>
            </w:r>
          </w:p>
        </w:tc>
      </w:tr>
      <w:tr w14:paraId="2282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668" w:type="dxa"/>
            <w:vAlign w:val="center"/>
          </w:tcPr>
          <w:p w14:paraId="201A2F2E">
            <w:pPr>
              <w:pStyle w:val="13"/>
              <w:spacing w:before="137" w:line="184" w:lineRule="auto"/>
              <w:jc w:val="center"/>
              <w:rPr>
                <w:rFonts w:ascii="仿宋_GB2312" w:eastAsia="仿宋_GB2312"/>
                <w:sz w:val="24"/>
                <w:szCs w:val="24"/>
              </w:rPr>
            </w:pPr>
            <w:r>
              <w:rPr>
                <w:rFonts w:hint="eastAsia" w:ascii="仿宋_GB2312" w:eastAsia="仿宋_GB2312"/>
                <w:sz w:val="24"/>
                <w:szCs w:val="24"/>
              </w:rPr>
              <w:t>1</w:t>
            </w:r>
          </w:p>
        </w:tc>
        <w:tc>
          <w:tcPr>
            <w:tcW w:w="2842" w:type="dxa"/>
            <w:vMerge w:val="restart"/>
            <w:tcBorders>
              <w:bottom w:val="nil"/>
            </w:tcBorders>
            <w:vAlign w:val="center"/>
          </w:tcPr>
          <w:p w14:paraId="2790AF03">
            <w:pPr>
              <w:pStyle w:val="13"/>
              <w:spacing w:before="137" w:line="219" w:lineRule="auto"/>
              <w:jc w:val="center"/>
              <w:rPr>
                <w:rFonts w:ascii="仿宋_GB2312" w:eastAsia="仿宋_GB2312"/>
                <w:sz w:val="24"/>
                <w:szCs w:val="24"/>
                <w:lang w:eastAsia="zh-CN"/>
              </w:rPr>
            </w:pPr>
            <w:r>
              <w:rPr>
                <w:rFonts w:hint="eastAsia" w:ascii="仿宋_GB2312" w:eastAsia="仿宋_GB2312"/>
                <w:spacing w:val="2"/>
                <w:sz w:val="24"/>
                <w:szCs w:val="24"/>
              </w:rPr>
              <w:t>(一)责任</w:t>
            </w:r>
            <w:r>
              <w:rPr>
                <w:rFonts w:hint="eastAsia" w:ascii="仿宋_GB2312" w:eastAsia="仿宋_GB2312"/>
                <w:spacing w:val="2"/>
                <w:sz w:val="24"/>
                <w:szCs w:val="24"/>
                <w:lang w:eastAsia="zh-CN"/>
              </w:rPr>
              <w:t>落实</w:t>
            </w:r>
          </w:p>
        </w:tc>
        <w:tc>
          <w:tcPr>
            <w:tcW w:w="7963" w:type="dxa"/>
            <w:vAlign w:val="center"/>
          </w:tcPr>
          <w:p w14:paraId="7496BB83">
            <w:pPr>
              <w:pStyle w:val="13"/>
              <w:spacing w:line="219" w:lineRule="auto"/>
              <w:ind w:left="232"/>
              <w:jc w:val="center"/>
              <w:rPr>
                <w:rFonts w:ascii="仿宋_GB2312" w:eastAsia="仿宋_GB2312"/>
                <w:sz w:val="24"/>
                <w:szCs w:val="24"/>
                <w:lang w:eastAsia="zh-CN"/>
              </w:rPr>
            </w:pPr>
            <w:r>
              <w:rPr>
                <w:rFonts w:hint="eastAsia" w:ascii="仿宋_GB2312" w:eastAsia="仿宋_GB2312"/>
                <w:sz w:val="24"/>
                <w:szCs w:val="24"/>
                <w:lang w:eastAsia="zh-CN"/>
              </w:rPr>
              <w:t>开展涉网安全管理专题研究，根据国家有关法规和通知要求，建立健全涉网安全管理工作制度</w:t>
            </w:r>
            <w:r>
              <w:rPr>
                <w:rFonts w:hint="eastAsia" w:ascii="仿宋_GB2312" w:eastAsia="仿宋_GB2312"/>
                <w:spacing w:val="-1"/>
                <w:sz w:val="24"/>
                <w:szCs w:val="24"/>
                <w:lang w:eastAsia="zh-CN"/>
              </w:rPr>
              <w:t>。</w:t>
            </w:r>
          </w:p>
        </w:tc>
        <w:tc>
          <w:tcPr>
            <w:tcW w:w="2492" w:type="dxa"/>
            <w:vAlign w:val="center"/>
          </w:tcPr>
          <w:p w14:paraId="55A47DFC">
            <w:pPr>
              <w:pStyle w:val="13"/>
              <w:keepNext w:val="0"/>
              <w:keepLines w:val="0"/>
              <w:pageBreakBefore w:val="0"/>
              <w:widowControl/>
              <w:kinsoku w:val="0"/>
              <w:wordWrap/>
              <w:overflowPunct/>
              <w:topLinePunct w:val="0"/>
              <w:bidi w:val="0"/>
              <w:adjustRightInd w:val="0"/>
              <w:snapToGrid w:val="0"/>
              <w:spacing w:line="300" w:lineRule="exact"/>
              <w:ind w:left="0" w:right="0" w:firstLine="210"/>
              <w:jc w:val="center"/>
              <w:textAlignment w:val="baseline"/>
              <w:rPr>
                <w:rFonts w:ascii="仿宋_GB2312" w:eastAsia="仿宋_GB2312"/>
                <w:sz w:val="24"/>
                <w:szCs w:val="24"/>
                <w:lang w:eastAsia="zh-CN"/>
              </w:rPr>
            </w:pPr>
            <w:r>
              <w:rPr>
                <w:rFonts w:hint="eastAsia" w:ascii="仿宋_GB2312" w:eastAsia="仿宋_GB2312"/>
                <w:spacing w:val="2"/>
                <w:sz w:val="24"/>
                <w:szCs w:val="24"/>
                <w:lang w:eastAsia="zh-CN"/>
              </w:rPr>
              <w:t>电网企业、电力调度机</w:t>
            </w:r>
            <w:r>
              <w:rPr>
                <w:rFonts w:hint="eastAsia" w:ascii="仿宋_GB2312" w:eastAsia="仿宋_GB2312"/>
                <w:spacing w:val="1"/>
                <w:sz w:val="24"/>
                <w:szCs w:val="24"/>
                <w:lang w:eastAsia="zh-CN"/>
              </w:rPr>
              <w:t>构、各并网主体企业</w:t>
            </w:r>
          </w:p>
        </w:tc>
      </w:tr>
      <w:tr w14:paraId="7CEF1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vAlign w:val="center"/>
          </w:tcPr>
          <w:p w14:paraId="725B48B4">
            <w:pPr>
              <w:pStyle w:val="13"/>
              <w:spacing w:before="136" w:line="183" w:lineRule="auto"/>
              <w:jc w:val="center"/>
              <w:rPr>
                <w:rFonts w:ascii="仿宋_GB2312" w:eastAsia="仿宋_GB2312"/>
                <w:sz w:val="24"/>
                <w:szCs w:val="24"/>
              </w:rPr>
            </w:pPr>
            <w:r>
              <w:rPr>
                <w:rFonts w:hint="eastAsia" w:ascii="仿宋_GB2312" w:eastAsia="仿宋_GB2312"/>
                <w:sz w:val="24"/>
                <w:szCs w:val="24"/>
              </w:rPr>
              <w:t>2</w:t>
            </w:r>
          </w:p>
        </w:tc>
        <w:tc>
          <w:tcPr>
            <w:tcW w:w="2842" w:type="dxa"/>
            <w:vMerge w:val="continue"/>
            <w:tcBorders>
              <w:top w:val="nil"/>
              <w:bottom w:val="nil"/>
            </w:tcBorders>
            <w:vAlign w:val="center"/>
          </w:tcPr>
          <w:p w14:paraId="330104AC">
            <w:pPr>
              <w:jc w:val="center"/>
              <w:rPr>
                <w:rFonts w:ascii="仿宋_GB2312" w:eastAsia="仿宋_GB2312"/>
                <w:snapToGrid w:val="0"/>
                <w:color w:val="000000"/>
                <w:sz w:val="24"/>
                <w:lang w:eastAsia="en-US"/>
              </w:rPr>
            </w:pPr>
          </w:p>
        </w:tc>
        <w:tc>
          <w:tcPr>
            <w:tcW w:w="7963" w:type="dxa"/>
            <w:vAlign w:val="center"/>
          </w:tcPr>
          <w:p w14:paraId="491D07E3">
            <w:pPr>
              <w:pStyle w:val="13"/>
              <w:spacing w:line="219" w:lineRule="auto"/>
              <w:ind w:left="232"/>
              <w:jc w:val="center"/>
              <w:rPr>
                <w:rFonts w:ascii="仿宋_GB2312" w:eastAsia="仿宋_GB2312"/>
                <w:sz w:val="24"/>
                <w:szCs w:val="24"/>
                <w:lang w:eastAsia="zh-CN"/>
              </w:rPr>
            </w:pPr>
            <w:r>
              <w:rPr>
                <w:rFonts w:hint="eastAsia" w:ascii="仿宋_GB2312" w:eastAsia="仿宋_GB2312"/>
                <w:sz w:val="24"/>
                <w:szCs w:val="24"/>
                <w:lang w:eastAsia="zh-CN"/>
              </w:rPr>
              <w:t>各责任主体要认真按照划分的职能界面，严格履行涉网安全责任，执行涉网安全管理规章制度，扎实做好涉网安全管理工作，</w:t>
            </w:r>
            <w:r>
              <w:rPr>
                <w:rFonts w:hint="eastAsia" w:ascii="仿宋_GB2312" w:eastAsia="仿宋_GB2312"/>
                <w:spacing w:val="1"/>
                <w:sz w:val="24"/>
                <w:szCs w:val="24"/>
                <w:lang w:eastAsia="zh-CN"/>
              </w:rPr>
              <w:t>明确涉网安全管理岗位、人员、职责。</w:t>
            </w:r>
          </w:p>
        </w:tc>
        <w:tc>
          <w:tcPr>
            <w:tcW w:w="2492" w:type="dxa"/>
            <w:vAlign w:val="center"/>
          </w:tcPr>
          <w:p w14:paraId="79C45B4A">
            <w:pPr>
              <w:pStyle w:val="13"/>
              <w:keepNext w:val="0"/>
              <w:keepLines w:val="0"/>
              <w:pageBreakBefore w:val="0"/>
              <w:widowControl/>
              <w:kinsoku w:val="0"/>
              <w:wordWrap/>
              <w:overflowPunct/>
              <w:topLinePunct w:val="0"/>
              <w:bidi w:val="0"/>
              <w:adjustRightInd w:val="0"/>
              <w:snapToGrid w:val="0"/>
              <w:spacing w:line="300" w:lineRule="exact"/>
              <w:ind w:left="0" w:right="0" w:firstLine="210"/>
              <w:jc w:val="center"/>
              <w:textAlignment w:val="baseline"/>
              <w:rPr>
                <w:rFonts w:ascii="仿宋_GB2312" w:eastAsia="仿宋_GB2312"/>
                <w:sz w:val="24"/>
                <w:szCs w:val="24"/>
                <w:lang w:eastAsia="zh-CN"/>
              </w:rPr>
            </w:pPr>
            <w:r>
              <w:rPr>
                <w:rFonts w:hint="eastAsia" w:ascii="仿宋_GB2312" w:eastAsia="仿宋_GB2312"/>
                <w:spacing w:val="2"/>
                <w:sz w:val="24"/>
                <w:szCs w:val="24"/>
                <w:lang w:eastAsia="zh-CN"/>
              </w:rPr>
              <w:t>电网企业、电力调度机</w:t>
            </w:r>
            <w:r>
              <w:rPr>
                <w:rFonts w:hint="eastAsia" w:ascii="仿宋_GB2312" w:eastAsia="仿宋_GB2312"/>
                <w:spacing w:val="1"/>
                <w:sz w:val="24"/>
                <w:szCs w:val="24"/>
                <w:lang w:eastAsia="zh-CN"/>
              </w:rPr>
              <w:t>构、各新能源和新型并网主体企业</w:t>
            </w:r>
          </w:p>
        </w:tc>
      </w:tr>
      <w:tr w14:paraId="1321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vAlign w:val="center"/>
          </w:tcPr>
          <w:p w14:paraId="7C8C77A2">
            <w:pPr>
              <w:pStyle w:val="13"/>
              <w:spacing w:before="199" w:line="158" w:lineRule="auto"/>
              <w:jc w:val="center"/>
              <w:rPr>
                <w:rFonts w:ascii="仿宋_GB2312" w:eastAsia="仿宋_GB2312"/>
                <w:sz w:val="24"/>
                <w:szCs w:val="24"/>
              </w:rPr>
            </w:pPr>
            <w:r>
              <w:rPr>
                <w:rFonts w:hint="eastAsia" w:ascii="仿宋_GB2312" w:eastAsia="仿宋_GB2312"/>
                <w:sz w:val="24"/>
                <w:szCs w:val="24"/>
              </w:rPr>
              <w:t>3</w:t>
            </w:r>
          </w:p>
        </w:tc>
        <w:tc>
          <w:tcPr>
            <w:tcW w:w="2842" w:type="dxa"/>
            <w:vMerge w:val="restart"/>
            <w:vAlign w:val="center"/>
          </w:tcPr>
          <w:p w14:paraId="33D68427">
            <w:pPr>
              <w:pStyle w:val="13"/>
              <w:spacing w:before="137" w:line="221" w:lineRule="auto"/>
              <w:jc w:val="center"/>
              <w:rPr>
                <w:rFonts w:ascii="仿宋_GB2312" w:eastAsia="仿宋_GB2312"/>
                <w:sz w:val="24"/>
                <w:szCs w:val="24"/>
              </w:rPr>
            </w:pPr>
            <w:r>
              <w:rPr>
                <w:rFonts w:hint="eastAsia" w:ascii="仿宋_GB2312" w:eastAsia="仿宋_GB2312"/>
                <w:spacing w:val="3"/>
                <w:sz w:val="24"/>
                <w:szCs w:val="24"/>
              </w:rPr>
              <w:t>(二)涉网性能</w:t>
            </w:r>
          </w:p>
        </w:tc>
        <w:tc>
          <w:tcPr>
            <w:tcW w:w="7963" w:type="dxa"/>
            <w:vAlign w:val="center"/>
          </w:tcPr>
          <w:p w14:paraId="4798A136">
            <w:pPr>
              <w:pStyle w:val="13"/>
              <w:spacing w:line="219" w:lineRule="auto"/>
              <w:ind w:left="232"/>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加强对并网主体的专业培训指导，提升并网主体技术人员专业水平和工作能力。全过程配合参与并网主体接入系统评审，做好并网主体送出线路建设配套停电方案的风险分析，及时指导并网主体解决遇到的涉网技术问题。依据国家和行业相关标准规范、四川电网并网服务指南等文件要求，做好并网前涉网设备技术资料、涉网性能参数、检测机构资质条件等内容审查。并网后，通过涉网试验或验证开展涉网安全核查和运行统计分析等方面强化涉网性能评估，定期跟踪新建、改造和扩建并网主体涉网试验开展情况。</w:t>
            </w:r>
          </w:p>
        </w:tc>
        <w:tc>
          <w:tcPr>
            <w:tcW w:w="2492" w:type="dxa"/>
            <w:vAlign w:val="center"/>
          </w:tcPr>
          <w:p w14:paraId="456D74AD">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电力调度机构、电网企业</w:t>
            </w:r>
          </w:p>
        </w:tc>
      </w:tr>
      <w:tr w14:paraId="202D8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668" w:type="dxa"/>
            <w:vAlign w:val="center"/>
          </w:tcPr>
          <w:p w14:paraId="1E98487E">
            <w:pPr>
              <w:pStyle w:val="13"/>
              <w:spacing w:before="202" w:line="157" w:lineRule="auto"/>
              <w:jc w:val="center"/>
              <w:rPr>
                <w:rFonts w:hint="eastAsia" w:ascii="仿宋_GB2312" w:eastAsia="仿宋_GB2312"/>
                <w:sz w:val="24"/>
                <w:szCs w:val="24"/>
                <w:lang w:eastAsia="zh-CN"/>
              </w:rPr>
            </w:pPr>
            <w:r>
              <w:rPr>
                <w:rFonts w:hint="eastAsia" w:ascii="仿宋_GB2312" w:eastAsia="仿宋_GB2312"/>
                <w:position w:val="-4"/>
                <w:sz w:val="24"/>
                <w:szCs w:val="24"/>
                <w:lang w:val="en-US" w:eastAsia="zh-CN"/>
              </w:rPr>
              <w:t>4</w:t>
            </w:r>
          </w:p>
        </w:tc>
        <w:tc>
          <w:tcPr>
            <w:tcW w:w="2842" w:type="dxa"/>
            <w:vMerge w:val="continue"/>
            <w:vAlign w:val="center"/>
          </w:tcPr>
          <w:p w14:paraId="5321DF1E">
            <w:pPr>
              <w:jc w:val="center"/>
              <w:rPr>
                <w:rFonts w:ascii="仿宋_GB2312" w:eastAsia="仿宋_GB2312"/>
                <w:snapToGrid w:val="0"/>
                <w:color w:val="000000"/>
                <w:sz w:val="24"/>
                <w:lang w:eastAsia="en-US"/>
              </w:rPr>
            </w:pPr>
          </w:p>
        </w:tc>
        <w:tc>
          <w:tcPr>
            <w:tcW w:w="7963" w:type="dxa"/>
            <w:vAlign w:val="center"/>
          </w:tcPr>
          <w:p w14:paraId="55795777">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对照相关的国家标准及行业标准等规定要求，加强SVG、AVC、AGC、一次调频等重要涉网调节设备/装置故障或异常消缺，避免“需用不能用”，影响系统调节能力</w:t>
            </w:r>
          </w:p>
        </w:tc>
        <w:tc>
          <w:tcPr>
            <w:tcW w:w="2492" w:type="dxa"/>
            <w:vAlign w:val="center"/>
          </w:tcPr>
          <w:p w14:paraId="2B1D5AB5">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各新能源和新型并网主体企业</w:t>
            </w:r>
          </w:p>
        </w:tc>
      </w:tr>
      <w:tr w14:paraId="3D368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0E00D2BD">
            <w:pPr>
              <w:pStyle w:val="13"/>
              <w:spacing w:before="202" w:line="157" w:lineRule="auto"/>
              <w:jc w:val="center"/>
              <w:rPr>
                <w:rFonts w:ascii="仿宋_GB2312" w:hAnsi="宋体" w:eastAsia="仿宋_GB2312" w:cs="宋体"/>
                <w:snapToGrid w:val="0"/>
                <w:color w:val="000000"/>
                <w:kern w:val="0"/>
                <w:sz w:val="24"/>
                <w:szCs w:val="24"/>
                <w:lang w:val="en-US" w:eastAsia="en-US" w:bidi="ar-SA"/>
              </w:rPr>
            </w:pPr>
            <w:r>
              <w:rPr>
                <w:rFonts w:hint="eastAsia" w:ascii="仿宋_GB2312" w:eastAsia="仿宋_GB2312"/>
                <w:position w:val="-4"/>
                <w:sz w:val="24"/>
                <w:szCs w:val="24"/>
              </w:rPr>
              <w:t>5</w:t>
            </w:r>
          </w:p>
        </w:tc>
        <w:tc>
          <w:tcPr>
            <w:tcW w:w="2842" w:type="dxa"/>
            <w:vMerge w:val="continue"/>
            <w:vAlign w:val="center"/>
          </w:tcPr>
          <w:p w14:paraId="50A14AF7">
            <w:pPr>
              <w:jc w:val="center"/>
              <w:rPr>
                <w:rFonts w:ascii="仿宋_GB2312" w:eastAsia="仿宋_GB2312"/>
                <w:snapToGrid w:val="0"/>
                <w:color w:val="000000"/>
                <w:sz w:val="24"/>
                <w:lang w:eastAsia="en-US"/>
              </w:rPr>
            </w:pPr>
          </w:p>
        </w:tc>
        <w:tc>
          <w:tcPr>
            <w:tcW w:w="7963" w:type="dxa"/>
            <w:vAlign w:val="center"/>
          </w:tcPr>
          <w:p w14:paraId="56C5C94F">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新能源和新型并网主体应满足《电力系统安全稳定导则》（GB 38755-2019）、《电网运行准则GB/T 31464-2022》、《电力系统网源协调技术导则》（GB/T 40594-2021）以及风电、光伏、储能等相关的国家、行业及地方标准等规定要求，以相关标准规范为依据组织实施工程项目建设，保证频率电压耐受能力、故障电压穿越能力及继电保护、安全稳定控制装置、通信设备等二次系统配置符合要求，避免“带病入网”。</w:t>
            </w:r>
          </w:p>
        </w:tc>
        <w:tc>
          <w:tcPr>
            <w:tcW w:w="2492" w:type="dxa"/>
            <w:vAlign w:val="center"/>
          </w:tcPr>
          <w:p w14:paraId="7CC8C4E5">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各新能源和新型并网主体企业</w:t>
            </w:r>
          </w:p>
        </w:tc>
      </w:tr>
      <w:tr w14:paraId="33DC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3C83519A">
            <w:pPr>
              <w:pStyle w:val="13"/>
              <w:spacing w:before="202" w:line="157" w:lineRule="auto"/>
              <w:jc w:val="center"/>
              <w:rPr>
                <w:rFonts w:hint="eastAsia" w:ascii="仿宋_GB2312" w:hAnsi="宋体" w:eastAsia="仿宋_GB2312" w:cs="宋体"/>
                <w:snapToGrid w:val="0"/>
                <w:color w:val="000000"/>
                <w:kern w:val="0"/>
                <w:sz w:val="24"/>
                <w:szCs w:val="24"/>
                <w:lang w:val="en-US" w:eastAsia="en-US" w:bidi="ar-SA"/>
              </w:rPr>
            </w:pPr>
            <w:r>
              <w:rPr>
                <w:rFonts w:hint="eastAsia" w:ascii="仿宋_GB2312" w:eastAsia="仿宋_GB2312"/>
                <w:sz w:val="24"/>
                <w:szCs w:val="24"/>
              </w:rPr>
              <w:t>6</w:t>
            </w:r>
          </w:p>
        </w:tc>
        <w:tc>
          <w:tcPr>
            <w:tcW w:w="2842" w:type="dxa"/>
            <w:vMerge w:val="continue"/>
            <w:vAlign w:val="center"/>
          </w:tcPr>
          <w:p w14:paraId="14DE54F1">
            <w:pPr>
              <w:jc w:val="center"/>
              <w:rPr>
                <w:rFonts w:ascii="仿宋_GB2312" w:eastAsia="仿宋_GB2312"/>
                <w:snapToGrid w:val="0"/>
                <w:color w:val="000000"/>
                <w:sz w:val="24"/>
                <w:lang w:eastAsia="en-US"/>
              </w:rPr>
            </w:pPr>
          </w:p>
        </w:tc>
        <w:tc>
          <w:tcPr>
            <w:tcW w:w="7963" w:type="dxa"/>
            <w:vAlign w:val="center"/>
          </w:tcPr>
          <w:p w14:paraId="306D6CC8">
            <w:pPr>
              <w:pStyle w:val="13"/>
              <w:spacing w:line="219" w:lineRule="auto"/>
              <w:jc w:val="center"/>
              <w:rPr>
                <w:rFonts w:hint="eastAsia" w:ascii="仿宋_GB2312" w:eastAsia="仿宋_GB2312"/>
                <w:spacing w:val="1"/>
                <w:sz w:val="24"/>
                <w:szCs w:val="24"/>
                <w:lang w:eastAsia="zh-CN"/>
              </w:rPr>
            </w:pPr>
            <w:r>
              <w:rPr>
                <w:rFonts w:hint="eastAsia" w:ascii="仿宋_GB2312" w:eastAsia="仿宋_GB2312"/>
                <w:spacing w:val="1"/>
                <w:sz w:val="24"/>
                <w:szCs w:val="24"/>
                <w:lang w:eastAsia="zh-CN"/>
              </w:rPr>
              <w:t>并网主体应按国家标准及行业标准有关要求具备相应的紧急控制、一次调频、有功控制、无功控制、故障穿越功能且满足相应的运行适应性、电能质量要求，</w:t>
            </w:r>
          </w:p>
        </w:tc>
        <w:tc>
          <w:tcPr>
            <w:tcW w:w="2492" w:type="dxa"/>
            <w:vAlign w:val="center"/>
          </w:tcPr>
          <w:p w14:paraId="70F2F637">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hint="eastAsia" w:ascii="仿宋_GB2312" w:eastAsia="仿宋_GB2312"/>
                <w:spacing w:val="1"/>
                <w:sz w:val="24"/>
                <w:szCs w:val="24"/>
                <w:lang w:eastAsia="zh-CN"/>
              </w:rPr>
            </w:pPr>
            <w:r>
              <w:rPr>
                <w:rFonts w:hint="eastAsia" w:ascii="仿宋_GB2312" w:eastAsia="仿宋_GB2312"/>
                <w:spacing w:val="1"/>
                <w:sz w:val="24"/>
                <w:szCs w:val="24"/>
                <w:lang w:eastAsia="zh-CN"/>
              </w:rPr>
              <w:t>各新能源和新型并网主体企业</w:t>
            </w:r>
          </w:p>
        </w:tc>
      </w:tr>
      <w:tr w14:paraId="2A6A6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6FCAC3E2">
            <w:pPr>
              <w:pStyle w:val="13"/>
              <w:spacing w:before="202" w:line="161" w:lineRule="auto"/>
              <w:jc w:val="center"/>
              <w:rPr>
                <w:rFonts w:hint="eastAsia" w:ascii="仿宋_GB2312" w:hAnsi="宋体" w:eastAsia="仿宋_GB2312" w:cs="宋体"/>
                <w:snapToGrid w:val="0"/>
                <w:color w:val="000000"/>
                <w:kern w:val="0"/>
                <w:sz w:val="24"/>
                <w:szCs w:val="24"/>
                <w:lang w:val="en-US" w:eastAsia="zh-CN" w:bidi="ar-SA"/>
              </w:rPr>
            </w:pPr>
            <w:r>
              <w:rPr>
                <w:rFonts w:hint="eastAsia" w:ascii="仿宋_GB2312" w:eastAsia="仿宋_GB2312"/>
                <w:position w:val="-4"/>
                <w:sz w:val="24"/>
                <w:szCs w:val="24"/>
              </w:rPr>
              <w:t>7</w:t>
            </w:r>
          </w:p>
        </w:tc>
        <w:tc>
          <w:tcPr>
            <w:tcW w:w="2842" w:type="dxa"/>
            <w:vMerge w:val="restart"/>
            <w:vAlign w:val="center"/>
          </w:tcPr>
          <w:p w14:paraId="50C9B0BC">
            <w:pPr>
              <w:pStyle w:val="13"/>
              <w:spacing w:before="93" w:line="209" w:lineRule="auto"/>
              <w:jc w:val="center"/>
              <w:rPr>
                <w:rFonts w:ascii="仿宋_GB2312" w:eastAsia="仿宋_GB2312"/>
                <w:sz w:val="24"/>
                <w:szCs w:val="24"/>
              </w:rPr>
            </w:pPr>
            <w:r>
              <w:rPr>
                <w:rFonts w:hint="eastAsia" w:ascii="仿宋_GB2312" w:eastAsia="仿宋_GB2312"/>
                <w:spacing w:val="2"/>
                <w:sz w:val="24"/>
                <w:szCs w:val="24"/>
              </w:rPr>
              <w:t>(三)参数管理</w:t>
            </w:r>
          </w:p>
        </w:tc>
        <w:tc>
          <w:tcPr>
            <w:tcW w:w="7963" w:type="dxa"/>
            <w:vAlign w:val="center"/>
          </w:tcPr>
          <w:p w14:paraId="648DEB0B">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对纳入涉网安全管理范围的并网主体涉网参数的统一管理，完善并网主体涉网设备关键参数管理台账信息，规范关键涉网参数设定原则和报备要求，明确报备参数范围和流程。</w:t>
            </w:r>
          </w:p>
        </w:tc>
        <w:tc>
          <w:tcPr>
            <w:tcW w:w="2492" w:type="dxa"/>
            <w:vAlign w:val="center"/>
          </w:tcPr>
          <w:p w14:paraId="337F0187">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w:t>
            </w:r>
          </w:p>
        </w:tc>
      </w:tr>
      <w:tr w14:paraId="2FFA3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4FF90446">
            <w:pPr>
              <w:pStyle w:val="13"/>
              <w:spacing w:before="202" w:line="161" w:lineRule="auto"/>
              <w:jc w:val="center"/>
              <w:rPr>
                <w:rFonts w:ascii="仿宋_GB2312" w:hAnsi="宋体" w:eastAsia="仿宋_GB2312" w:cs="宋体"/>
                <w:snapToGrid w:val="0"/>
                <w:color w:val="000000"/>
                <w:kern w:val="0"/>
                <w:sz w:val="24"/>
                <w:szCs w:val="24"/>
                <w:lang w:val="en-US" w:eastAsia="zh-CN" w:bidi="ar-SA"/>
              </w:rPr>
            </w:pPr>
            <w:r>
              <w:rPr>
                <w:rFonts w:hint="eastAsia" w:ascii="仿宋_GB2312" w:eastAsia="仿宋_GB2312"/>
                <w:sz w:val="24"/>
                <w:szCs w:val="24"/>
              </w:rPr>
              <w:t>8</w:t>
            </w:r>
          </w:p>
        </w:tc>
        <w:tc>
          <w:tcPr>
            <w:tcW w:w="2842" w:type="dxa"/>
            <w:vMerge w:val="continue"/>
            <w:vAlign w:val="center"/>
          </w:tcPr>
          <w:p w14:paraId="1F25D3AA">
            <w:pPr>
              <w:pStyle w:val="13"/>
              <w:spacing w:before="93" w:line="209" w:lineRule="auto"/>
              <w:jc w:val="center"/>
              <w:rPr>
                <w:rFonts w:ascii="仿宋_GB2312" w:eastAsia="仿宋_GB2312"/>
                <w:spacing w:val="2"/>
                <w:sz w:val="24"/>
                <w:szCs w:val="24"/>
                <w:lang w:eastAsia="zh-CN"/>
              </w:rPr>
            </w:pPr>
          </w:p>
        </w:tc>
        <w:tc>
          <w:tcPr>
            <w:tcW w:w="7963" w:type="dxa"/>
            <w:vAlign w:val="center"/>
          </w:tcPr>
          <w:p w14:paraId="0935D942">
            <w:pPr>
              <w:pStyle w:val="13"/>
              <w:spacing w:line="219" w:lineRule="auto"/>
              <w:ind w:left="232"/>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并网主体涉网安全相关设备的控制逻辑和参数、涉网保护定值等不得擅自调整，关键技术参数的升级或改造相关方案应经充分论证并提交电力调度机构审核同意后实施。控制逻辑或参数发生变化后，应在规定时间内开展涉网性能复核测试，确保满足涉网性能要求。</w:t>
            </w:r>
          </w:p>
        </w:tc>
        <w:tc>
          <w:tcPr>
            <w:tcW w:w="2492" w:type="dxa"/>
            <w:vAlign w:val="center"/>
          </w:tcPr>
          <w:p w14:paraId="71DC6ACD">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电力调度机构、新能源和新型并网主体企业</w:t>
            </w:r>
          </w:p>
        </w:tc>
      </w:tr>
      <w:tr w14:paraId="16F35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2C763E5C">
            <w:pPr>
              <w:pStyle w:val="13"/>
              <w:spacing w:before="202" w:line="161" w:lineRule="auto"/>
              <w:jc w:val="center"/>
              <w:rPr>
                <w:rFonts w:ascii="仿宋_GB2312" w:hAnsi="宋体" w:eastAsia="仿宋_GB2312" w:cs="宋体"/>
                <w:snapToGrid w:val="0"/>
                <w:color w:val="000000"/>
                <w:kern w:val="0"/>
                <w:sz w:val="24"/>
                <w:szCs w:val="24"/>
                <w:lang w:val="en-US" w:eastAsia="zh-CN" w:bidi="ar-SA"/>
              </w:rPr>
            </w:pPr>
            <w:r>
              <w:rPr>
                <w:rFonts w:hint="eastAsia" w:ascii="仿宋_GB2312" w:eastAsia="仿宋_GB2312"/>
                <w:sz w:val="24"/>
                <w:szCs w:val="24"/>
                <w:lang w:eastAsia="zh-CN"/>
              </w:rPr>
              <w:t>9</w:t>
            </w:r>
          </w:p>
        </w:tc>
        <w:tc>
          <w:tcPr>
            <w:tcW w:w="2842" w:type="dxa"/>
            <w:vMerge w:val="continue"/>
            <w:vAlign w:val="center"/>
          </w:tcPr>
          <w:p w14:paraId="4F431567">
            <w:pPr>
              <w:pStyle w:val="13"/>
              <w:spacing w:before="93" w:line="209" w:lineRule="auto"/>
              <w:jc w:val="center"/>
              <w:rPr>
                <w:rFonts w:ascii="仿宋_GB2312" w:eastAsia="仿宋_GB2312"/>
                <w:spacing w:val="2"/>
                <w:sz w:val="24"/>
                <w:szCs w:val="24"/>
                <w:lang w:eastAsia="zh-CN"/>
              </w:rPr>
            </w:pPr>
          </w:p>
        </w:tc>
        <w:tc>
          <w:tcPr>
            <w:tcW w:w="7963" w:type="dxa"/>
            <w:vAlign w:val="center"/>
          </w:tcPr>
          <w:p w14:paraId="5B990348">
            <w:pPr>
              <w:pStyle w:val="13"/>
              <w:spacing w:line="219" w:lineRule="auto"/>
              <w:ind w:left="232"/>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基于并网主体实测建模，对高比例电力电子设备接入电网开展电磁暂态仿真或机电-电磁混合仿真校核。</w:t>
            </w:r>
          </w:p>
        </w:tc>
        <w:tc>
          <w:tcPr>
            <w:tcW w:w="2492" w:type="dxa"/>
            <w:vAlign w:val="center"/>
          </w:tcPr>
          <w:p w14:paraId="181FCC75">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w:t>
            </w:r>
          </w:p>
        </w:tc>
      </w:tr>
      <w:tr w14:paraId="2F39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1124029E">
            <w:pPr>
              <w:pStyle w:val="13"/>
              <w:spacing w:before="202" w:line="161" w:lineRule="auto"/>
              <w:jc w:val="center"/>
              <w:rPr>
                <w:rFonts w:ascii="仿宋_GB2312" w:hAnsi="宋体" w:eastAsia="仿宋_GB2312" w:cs="宋体"/>
                <w:snapToGrid w:val="0"/>
                <w:color w:val="000000"/>
                <w:kern w:val="0"/>
                <w:sz w:val="24"/>
                <w:szCs w:val="24"/>
                <w:lang w:val="en-US" w:eastAsia="zh-CN" w:bidi="ar-SA"/>
              </w:rPr>
            </w:pPr>
            <w:r>
              <w:rPr>
                <w:rFonts w:hint="eastAsia" w:ascii="仿宋_GB2312" w:eastAsia="仿宋_GB2312"/>
                <w:sz w:val="24"/>
                <w:szCs w:val="24"/>
                <w:lang w:eastAsia="zh-CN"/>
              </w:rPr>
              <w:t>10</w:t>
            </w:r>
          </w:p>
        </w:tc>
        <w:tc>
          <w:tcPr>
            <w:tcW w:w="2842" w:type="dxa"/>
            <w:vMerge w:val="continue"/>
            <w:vAlign w:val="center"/>
          </w:tcPr>
          <w:p w14:paraId="2D8519D4">
            <w:pPr>
              <w:pStyle w:val="13"/>
              <w:spacing w:before="93" w:line="209" w:lineRule="auto"/>
              <w:jc w:val="center"/>
              <w:rPr>
                <w:rFonts w:ascii="仿宋_GB2312" w:eastAsia="仿宋_GB2312"/>
                <w:spacing w:val="2"/>
                <w:sz w:val="24"/>
                <w:szCs w:val="24"/>
                <w:lang w:eastAsia="zh-CN"/>
              </w:rPr>
            </w:pPr>
          </w:p>
        </w:tc>
        <w:tc>
          <w:tcPr>
            <w:tcW w:w="7963" w:type="dxa"/>
            <w:vAlign w:val="center"/>
          </w:tcPr>
          <w:p w14:paraId="663C96DB">
            <w:pPr>
              <w:pStyle w:val="13"/>
              <w:spacing w:line="219" w:lineRule="auto"/>
              <w:ind w:left="232"/>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根据电力系统稳定计算分析要求，开展电磁暂态和机电暂态建模及参数实测并上报相应电力调度机构，并网前并网主体还应向电力调度机构提供并网发电设备相应型号的电磁暂态和机电暂态模型。未纳入涉网安全管理范围的新能源和新型并网主体，可由设备厂家代为提供。</w:t>
            </w:r>
          </w:p>
        </w:tc>
        <w:tc>
          <w:tcPr>
            <w:tcW w:w="2492" w:type="dxa"/>
            <w:vAlign w:val="center"/>
          </w:tcPr>
          <w:p w14:paraId="3D743C48">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电力调度机构、新能源和新型并网主体企业</w:t>
            </w:r>
          </w:p>
        </w:tc>
      </w:tr>
      <w:tr w14:paraId="003BF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47039868">
            <w:pPr>
              <w:pStyle w:val="13"/>
              <w:spacing w:before="202" w:line="161" w:lineRule="auto"/>
              <w:jc w:val="center"/>
              <w:rPr>
                <w:rFonts w:ascii="仿宋_GB2312" w:hAnsi="宋体" w:eastAsia="仿宋_GB2312" w:cs="宋体"/>
                <w:snapToGrid w:val="0"/>
                <w:color w:val="000000"/>
                <w:kern w:val="0"/>
                <w:sz w:val="24"/>
                <w:szCs w:val="24"/>
                <w:lang w:val="en-US" w:eastAsia="zh-CN" w:bidi="ar-SA"/>
              </w:rPr>
            </w:pPr>
            <w:r>
              <w:rPr>
                <w:rFonts w:hint="eastAsia" w:ascii="仿宋_GB2312" w:eastAsia="仿宋_GB2312"/>
                <w:sz w:val="24"/>
                <w:szCs w:val="24"/>
                <w:lang w:eastAsia="zh-CN"/>
              </w:rPr>
              <w:t>11</w:t>
            </w:r>
          </w:p>
        </w:tc>
        <w:tc>
          <w:tcPr>
            <w:tcW w:w="2842" w:type="dxa"/>
            <w:vMerge w:val="continue"/>
            <w:vAlign w:val="center"/>
          </w:tcPr>
          <w:p w14:paraId="6FFAADB0">
            <w:pPr>
              <w:pStyle w:val="13"/>
              <w:spacing w:before="93" w:line="209" w:lineRule="auto"/>
              <w:jc w:val="center"/>
              <w:rPr>
                <w:rFonts w:ascii="仿宋_GB2312" w:eastAsia="仿宋_GB2312"/>
                <w:spacing w:val="2"/>
                <w:sz w:val="24"/>
                <w:szCs w:val="24"/>
                <w:lang w:eastAsia="zh-CN"/>
              </w:rPr>
            </w:pPr>
          </w:p>
        </w:tc>
        <w:tc>
          <w:tcPr>
            <w:tcW w:w="7963" w:type="dxa"/>
            <w:vAlign w:val="center"/>
          </w:tcPr>
          <w:p w14:paraId="7EE625F4">
            <w:pPr>
              <w:pStyle w:val="13"/>
              <w:spacing w:line="219" w:lineRule="auto"/>
              <w:ind w:left="232"/>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完善并网主体涉网参数全周期、精细化管理机制，确保电力系统稳定计算分析结论科学准确。</w:t>
            </w:r>
          </w:p>
        </w:tc>
        <w:tc>
          <w:tcPr>
            <w:tcW w:w="2492" w:type="dxa"/>
            <w:vAlign w:val="center"/>
          </w:tcPr>
          <w:p w14:paraId="5E4B0CEE">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w:t>
            </w:r>
          </w:p>
        </w:tc>
      </w:tr>
      <w:tr w14:paraId="71819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17F58F29">
            <w:pPr>
              <w:pStyle w:val="13"/>
              <w:spacing w:before="202" w:line="161" w:lineRule="auto"/>
              <w:jc w:val="center"/>
              <w:rPr>
                <w:rFonts w:ascii="仿宋_GB2312" w:hAnsi="宋体" w:eastAsia="仿宋_GB2312" w:cs="宋体"/>
                <w:snapToGrid w:val="0"/>
                <w:color w:val="000000"/>
                <w:kern w:val="0"/>
                <w:sz w:val="24"/>
                <w:szCs w:val="24"/>
                <w:lang w:val="en-US" w:eastAsia="zh-CN" w:bidi="ar-SA"/>
              </w:rPr>
            </w:pPr>
            <w:r>
              <w:rPr>
                <w:rFonts w:hint="eastAsia" w:ascii="仿宋_GB2312" w:eastAsia="仿宋_GB2312"/>
                <w:sz w:val="24"/>
                <w:szCs w:val="24"/>
                <w:lang w:eastAsia="zh-CN"/>
              </w:rPr>
              <w:t>12</w:t>
            </w:r>
          </w:p>
        </w:tc>
        <w:tc>
          <w:tcPr>
            <w:tcW w:w="2842" w:type="dxa"/>
            <w:vMerge w:val="continue"/>
            <w:vAlign w:val="center"/>
          </w:tcPr>
          <w:p w14:paraId="4281CCB8">
            <w:pPr>
              <w:pStyle w:val="13"/>
              <w:spacing w:before="93" w:line="209" w:lineRule="auto"/>
              <w:jc w:val="center"/>
              <w:rPr>
                <w:rFonts w:ascii="仿宋_GB2312" w:eastAsia="仿宋_GB2312"/>
                <w:spacing w:val="2"/>
                <w:sz w:val="24"/>
                <w:szCs w:val="24"/>
                <w:lang w:eastAsia="zh-CN"/>
              </w:rPr>
            </w:pPr>
          </w:p>
        </w:tc>
        <w:tc>
          <w:tcPr>
            <w:tcW w:w="7963" w:type="dxa"/>
            <w:vAlign w:val="center"/>
          </w:tcPr>
          <w:p w14:paraId="0897993A">
            <w:pPr>
              <w:pStyle w:val="13"/>
              <w:spacing w:line="219" w:lineRule="auto"/>
              <w:ind w:left="232"/>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并网主体的AGC、AVC、SVG、调速系统（包括一次调频）、励磁系统（包括PSS）等涉网设备应定期开展性能复核，复核周期不应超过5年，检测应由具备CNAS/CMA资质或同等资质能力的第三方机构开展，试验方案、试验结论和试验报告应经电力调度机构审核确认。</w:t>
            </w:r>
          </w:p>
        </w:tc>
        <w:tc>
          <w:tcPr>
            <w:tcW w:w="2492" w:type="dxa"/>
            <w:vAlign w:val="center"/>
          </w:tcPr>
          <w:p w14:paraId="3ADDFEB7">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电力调度机构、新能源和新型并网主体企业</w:t>
            </w:r>
          </w:p>
        </w:tc>
      </w:tr>
      <w:tr w14:paraId="2F2E9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13C86241">
            <w:pPr>
              <w:pStyle w:val="13"/>
              <w:spacing w:before="191" w:line="157" w:lineRule="auto"/>
              <w:jc w:val="center"/>
              <w:rPr>
                <w:rFonts w:ascii="仿宋_GB2312" w:hAnsi="宋体" w:eastAsia="仿宋_GB2312" w:cs="宋体"/>
                <w:snapToGrid w:val="0"/>
                <w:color w:val="000000"/>
                <w:kern w:val="0"/>
                <w:sz w:val="24"/>
                <w:szCs w:val="24"/>
                <w:lang w:val="en-US" w:eastAsia="zh-CN" w:bidi="ar-SA"/>
              </w:rPr>
            </w:pPr>
            <w:r>
              <w:rPr>
                <w:rFonts w:hint="eastAsia" w:ascii="仿宋_GB2312" w:eastAsia="仿宋_GB2312"/>
                <w:spacing w:val="-12"/>
                <w:sz w:val="24"/>
                <w:szCs w:val="24"/>
              </w:rPr>
              <w:t>13</w:t>
            </w:r>
          </w:p>
        </w:tc>
        <w:tc>
          <w:tcPr>
            <w:tcW w:w="2842" w:type="dxa"/>
            <w:vMerge w:val="restart"/>
            <w:vAlign w:val="center"/>
          </w:tcPr>
          <w:p w14:paraId="096E197B">
            <w:pPr>
              <w:pStyle w:val="13"/>
              <w:spacing w:before="84" w:line="204" w:lineRule="auto"/>
              <w:jc w:val="center"/>
              <w:rPr>
                <w:rFonts w:ascii="仿宋_GB2312" w:eastAsia="仿宋_GB2312"/>
                <w:sz w:val="24"/>
                <w:szCs w:val="24"/>
              </w:rPr>
            </w:pPr>
            <w:r>
              <w:rPr>
                <w:rFonts w:hint="eastAsia" w:ascii="仿宋_GB2312" w:eastAsia="仿宋_GB2312"/>
                <w:spacing w:val="2"/>
                <w:sz w:val="24"/>
                <w:szCs w:val="24"/>
              </w:rPr>
              <w:t>(四)并网</w:t>
            </w:r>
            <w:r>
              <w:rPr>
                <w:rFonts w:hint="eastAsia" w:ascii="仿宋_GB2312" w:eastAsia="仿宋_GB2312"/>
                <w:spacing w:val="2"/>
                <w:sz w:val="24"/>
                <w:szCs w:val="24"/>
                <w:lang w:eastAsia="zh-CN"/>
              </w:rPr>
              <w:t>接入</w:t>
            </w:r>
          </w:p>
        </w:tc>
        <w:tc>
          <w:tcPr>
            <w:tcW w:w="7963" w:type="dxa"/>
            <w:vAlign w:val="center"/>
          </w:tcPr>
          <w:p w14:paraId="5FD42A32">
            <w:pPr>
              <w:pStyle w:val="13"/>
              <w:spacing w:line="219" w:lineRule="auto"/>
              <w:ind w:left="232"/>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电网企业深入研究分析分布式新能源接入安全风险，配合地方电力管理部门做好分布式新能源接入电网承载力评估工作，引导分布式新能源科学布局、安全接入、高效消纳</w:t>
            </w:r>
          </w:p>
        </w:tc>
        <w:tc>
          <w:tcPr>
            <w:tcW w:w="2492" w:type="dxa"/>
            <w:vAlign w:val="center"/>
          </w:tcPr>
          <w:p w14:paraId="6963A7F0">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地方电力管理部门、电网企业</w:t>
            </w:r>
          </w:p>
        </w:tc>
      </w:tr>
      <w:tr w14:paraId="1F467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28A32453">
            <w:pPr>
              <w:pStyle w:val="13"/>
              <w:spacing w:before="191" w:line="157" w:lineRule="auto"/>
              <w:jc w:val="center"/>
              <w:rPr>
                <w:rFonts w:ascii="仿宋_GB2312" w:hAnsi="宋体" w:eastAsia="仿宋_GB2312" w:cs="宋体"/>
                <w:snapToGrid w:val="0"/>
                <w:color w:val="000000"/>
                <w:spacing w:val="-12"/>
                <w:kern w:val="0"/>
                <w:sz w:val="24"/>
                <w:szCs w:val="24"/>
                <w:lang w:val="en-US" w:eastAsia="zh-CN" w:bidi="ar-SA"/>
              </w:rPr>
            </w:pPr>
            <w:r>
              <w:rPr>
                <w:rFonts w:hint="eastAsia" w:ascii="仿宋_GB2312" w:eastAsia="仿宋_GB2312"/>
                <w:spacing w:val="-12"/>
                <w:sz w:val="24"/>
                <w:szCs w:val="24"/>
                <w:lang w:eastAsia="zh-CN"/>
              </w:rPr>
              <w:t>14</w:t>
            </w:r>
          </w:p>
        </w:tc>
        <w:tc>
          <w:tcPr>
            <w:tcW w:w="2842" w:type="dxa"/>
            <w:vMerge w:val="continue"/>
            <w:vAlign w:val="center"/>
          </w:tcPr>
          <w:p w14:paraId="15B54B56">
            <w:pPr>
              <w:pStyle w:val="13"/>
              <w:spacing w:before="84" w:line="204" w:lineRule="auto"/>
              <w:jc w:val="center"/>
              <w:rPr>
                <w:rFonts w:ascii="仿宋_GB2312" w:eastAsia="仿宋_GB2312"/>
                <w:spacing w:val="2"/>
                <w:sz w:val="24"/>
                <w:szCs w:val="24"/>
                <w:lang w:eastAsia="zh-CN"/>
              </w:rPr>
            </w:pPr>
          </w:p>
        </w:tc>
        <w:tc>
          <w:tcPr>
            <w:tcW w:w="7963" w:type="dxa"/>
            <w:vAlign w:val="center"/>
          </w:tcPr>
          <w:p w14:paraId="6717EB25">
            <w:pPr>
              <w:pStyle w:val="13"/>
              <w:spacing w:line="219" w:lineRule="auto"/>
              <w:ind w:left="232"/>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电力调度机构组织纳入涉网安全管理范围的新能源和新型并网主体签订并网调度协议</w:t>
            </w:r>
          </w:p>
        </w:tc>
        <w:tc>
          <w:tcPr>
            <w:tcW w:w="2492" w:type="dxa"/>
            <w:vAlign w:val="center"/>
          </w:tcPr>
          <w:p w14:paraId="1BA4E088">
            <w:pPr>
              <w:pStyle w:val="13"/>
              <w:keepNext w:val="0"/>
              <w:keepLines w:val="0"/>
              <w:pageBreakBefore w:val="0"/>
              <w:widowControl/>
              <w:kinsoku w:val="0"/>
              <w:wordWrap/>
              <w:overflowPunct/>
              <w:topLinePunct w:val="0"/>
              <w:bidi w:val="0"/>
              <w:adjustRightInd w:val="0"/>
              <w:snapToGrid w:val="0"/>
              <w:spacing w:line="300" w:lineRule="exact"/>
              <w:ind w:left="0" w:right="0"/>
              <w:jc w:val="both"/>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电力调度机构、各并网主体企业</w:t>
            </w:r>
          </w:p>
        </w:tc>
      </w:tr>
      <w:tr w14:paraId="47A21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668" w:type="dxa"/>
            <w:shd w:val="clear" w:color="auto" w:fill="auto"/>
            <w:vAlign w:val="center"/>
          </w:tcPr>
          <w:p w14:paraId="6E85C22F">
            <w:pPr>
              <w:pStyle w:val="13"/>
              <w:spacing w:before="191" w:line="157" w:lineRule="auto"/>
              <w:jc w:val="center"/>
              <w:rPr>
                <w:rFonts w:ascii="仿宋_GB2312" w:hAnsi="宋体" w:eastAsia="仿宋_GB2312" w:cs="宋体"/>
                <w:snapToGrid w:val="0"/>
                <w:color w:val="000000"/>
                <w:spacing w:val="-12"/>
                <w:kern w:val="0"/>
                <w:sz w:val="24"/>
                <w:szCs w:val="24"/>
                <w:lang w:val="en-US" w:eastAsia="zh-CN" w:bidi="ar-SA"/>
              </w:rPr>
            </w:pPr>
            <w:r>
              <w:rPr>
                <w:rFonts w:hint="eastAsia" w:ascii="仿宋_GB2312" w:eastAsia="仿宋_GB2312"/>
                <w:spacing w:val="-12"/>
                <w:sz w:val="24"/>
                <w:szCs w:val="24"/>
                <w:lang w:eastAsia="zh-CN"/>
              </w:rPr>
              <w:t>15</w:t>
            </w:r>
          </w:p>
        </w:tc>
        <w:tc>
          <w:tcPr>
            <w:tcW w:w="2842" w:type="dxa"/>
            <w:vMerge w:val="continue"/>
            <w:vAlign w:val="center"/>
          </w:tcPr>
          <w:p w14:paraId="1C776D74">
            <w:pPr>
              <w:pStyle w:val="13"/>
              <w:spacing w:before="84" w:line="204" w:lineRule="auto"/>
              <w:jc w:val="center"/>
              <w:rPr>
                <w:rFonts w:ascii="仿宋_GB2312" w:eastAsia="仿宋_GB2312"/>
                <w:spacing w:val="2"/>
                <w:sz w:val="24"/>
                <w:szCs w:val="24"/>
                <w:lang w:eastAsia="zh-CN"/>
              </w:rPr>
            </w:pPr>
          </w:p>
        </w:tc>
        <w:tc>
          <w:tcPr>
            <w:tcW w:w="7963" w:type="dxa"/>
            <w:vAlign w:val="center"/>
          </w:tcPr>
          <w:p w14:paraId="2CAEAFAB">
            <w:pPr>
              <w:pStyle w:val="13"/>
              <w:spacing w:line="219" w:lineRule="auto"/>
              <w:ind w:left="232"/>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纳入涉网安全管理范围的新能源和新型并网主体应组织开展并网验收工作，确保一、二次设备及各类系统满足并网要求。电网企业及其电力调度机构应做好并网主体涉网设备的配置、参数、性能、调控能力等并网条件确认工作，条件不满足的不得并网。并网后，各并网主体应完成全部涉网试验，在规定时间内将合格的试验结果提交电力调度机构。</w:t>
            </w:r>
          </w:p>
        </w:tc>
        <w:tc>
          <w:tcPr>
            <w:tcW w:w="2492" w:type="dxa"/>
            <w:vAlign w:val="center"/>
          </w:tcPr>
          <w:p w14:paraId="4495F342">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电网企业、电力调度机构、各新能源和新型并网主体企业</w:t>
            </w:r>
          </w:p>
        </w:tc>
      </w:tr>
      <w:tr w14:paraId="2402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30687787">
            <w:pPr>
              <w:pStyle w:val="13"/>
              <w:spacing w:before="212" w:line="161" w:lineRule="auto"/>
              <w:jc w:val="center"/>
              <w:rPr>
                <w:rFonts w:ascii="仿宋_GB2312" w:hAnsi="宋体" w:eastAsia="仿宋_GB2312" w:cs="宋体"/>
                <w:snapToGrid w:val="0"/>
                <w:color w:val="000000"/>
                <w:kern w:val="0"/>
                <w:sz w:val="24"/>
                <w:szCs w:val="24"/>
                <w:lang w:val="en-US" w:eastAsia="zh-CN" w:bidi="ar-SA"/>
              </w:rPr>
            </w:pPr>
            <w:r>
              <w:rPr>
                <w:rFonts w:hint="eastAsia" w:ascii="仿宋_GB2312" w:eastAsia="仿宋_GB2312"/>
                <w:spacing w:val="-12"/>
                <w:sz w:val="24"/>
                <w:szCs w:val="24"/>
              </w:rPr>
              <w:t>16</w:t>
            </w:r>
          </w:p>
        </w:tc>
        <w:tc>
          <w:tcPr>
            <w:tcW w:w="2842" w:type="dxa"/>
            <w:vMerge w:val="restart"/>
            <w:vAlign w:val="center"/>
          </w:tcPr>
          <w:p w14:paraId="32BE36DB">
            <w:pPr>
              <w:pStyle w:val="13"/>
              <w:spacing w:before="105" w:line="208" w:lineRule="auto"/>
              <w:jc w:val="center"/>
              <w:rPr>
                <w:rFonts w:ascii="仿宋_GB2312" w:eastAsia="仿宋_GB2312"/>
                <w:sz w:val="24"/>
                <w:szCs w:val="24"/>
              </w:rPr>
            </w:pPr>
            <w:r>
              <w:rPr>
                <w:rFonts w:hint="eastAsia" w:ascii="仿宋_GB2312" w:eastAsia="仿宋_GB2312"/>
                <w:spacing w:val="2"/>
                <w:sz w:val="24"/>
                <w:szCs w:val="24"/>
              </w:rPr>
              <w:t>(五)运行管理</w:t>
            </w:r>
          </w:p>
        </w:tc>
        <w:tc>
          <w:tcPr>
            <w:tcW w:w="7963" w:type="dxa"/>
            <w:vAlign w:val="center"/>
          </w:tcPr>
          <w:p w14:paraId="464B4DF8">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地方电力管理部门会同当地电网企业建立新能源和新型并网主体容量变更的申请、审核、测试等管理机制，电网企业完善并网主体停运、检修管理流程，确保并网主体并网运行期间发电及调节能力得到有效管控。并网主体严格执行容量变更管理流程，严禁私自变更容量。</w:t>
            </w:r>
          </w:p>
        </w:tc>
        <w:tc>
          <w:tcPr>
            <w:tcW w:w="2492" w:type="dxa"/>
            <w:vAlign w:val="center"/>
          </w:tcPr>
          <w:p w14:paraId="51FAF7D6">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地方电力管理部门、电网企业</w:t>
            </w:r>
          </w:p>
        </w:tc>
      </w:tr>
      <w:tr w14:paraId="457F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173E76F7">
            <w:pPr>
              <w:pStyle w:val="13"/>
              <w:spacing w:before="212" w:line="161" w:lineRule="auto"/>
              <w:jc w:val="center"/>
              <w:rPr>
                <w:rFonts w:ascii="仿宋_GB2312" w:hAnsi="宋体" w:eastAsia="仿宋_GB2312" w:cs="宋体"/>
                <w:snapToGrid w:val="0"/>
                <w:color w:val="000000"/>
                <w:spacing w:val="-12"/>
                <w:kern w:val="0"/>
                <w:sz w:val="24"/>
                <w:szCs w:val="24"/>
                <w:lang w:val="en-US" w:eastAsia="zh-CN" w:bidi="ar-SA"/>
              </w:rPr>
            </w:pPr>
            <w:r>
              <w:rPr>
                <w:rFonts w:hint="eastAsia" w:ascii="仿宋_GB2312" w:eastAsia="仿宋_GB2312"/>
                <w:spacing w:val="-12"/>
                <w:sz w:val="24"/>
                <w:szCs w:val="24"/>
                <w:lang w:eastAsia="zh-CN"/>
              </w:rPr>
              <w:t>17</w:t>
            </w:r>
          </w:p>
        </w:tc>
        <w:tc>
          <w:tcPr>
            <w:tcW w:w="2842" w:type="dxa"/>
            <w:vMerge w:val="continue"/>
            <w:vAlign w:val="center"/>
          </w:tcPr>
          <w:p w14:paraId="5266967B">
            <w:pPr>
              <w:pStyle w:val="13"/>
              <w:spacing w:before="105" w:line="208" w:lineRule="auto"/>
              <w:jc w:val="center"/>
              <w:rPr>
                <w:rFonts w:ascii="仿宋_GB2312" w:eastAsia="仿宋_GB2312"/>
                <w:spacing w:val="2"/>
                <w:sz w:val="24"/>
                <w:szCs w:val="24"/>
              </w:rPr>
            </w:pPr>
          </w:p>
        </w:tc>
        <w:tc>
          <w:tcPr>
            <w:tcW w:w="7963" w:type="dxa"/>
            <w:vAlign w:val="center"/>
          </w:tcPr>
          <w:p w14:paraId="44A7C1BA">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纳入涉网安全管理范围的并网主体具备接收和执行电力调度机构控制和调节指令的能力，满足电网运行“可调可控” 要求。同时，按照电网运行“可观可测”要求，实时上传主要设备运行信息，相关运行信息和调度控制功能接入调度系统，通信方式、通信协议满足电力调度机构要求。</w:t>
            </w:r>
          </w:p>
        </w:tc>
        <w:tc>
          <w:tcPr>
            <w:tcW w:w="2492" w:type="dxa"/>
            <w:vAlign w:val="center"/>
          </w:tcPr>
          <w:p w14:paraId="72BFDCA0">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电力调度机构、新能源和新型并网主体企业</w:t>
            </w:r>
          </w:p>
        </w:tc>
      </w:tr>
      <w:tr w14:paraId="3DAC6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55EABF50">
            <w:pPr>
              <w:pStyle w:val="13"/>
              <w:spacing w:before="212" w:line="161" w:lineRule="auto"/>
              <w:jc w:val="center"/>
              <w:rPr>
                <w:rFonts w:ascii="仿宋_GB2312" w:hAnsi="宋体" w:eastAsia="仿宋_GB2312" w:cs="宋体"/>
                <w:snapToGrid w:val="0"/>
                <w:color w:val="000000"/>
                <w:spacing w:val="-12"/>
                <w:kern w:val="0"/>
                <w:sz w:val="24"/>
                <w:szCs w:val="24"/>
                <w:lang w:val="en-US" w:eastAsia="zh-CN" w:bidi="ar-SA"/>
              </w:rPr>
            </w:pPr>
            <w:r>
              <w:rPr>
                <w:rFonts w:hint="eastAsia" w:ascii="仿宋_GB2312" w:eastAsia="仿宋_GB2312"/>
                <w:spacing w:val="-12"/>
                <w:sz w:val="24"/>
                <w:szCs w:val="24"/>
                <w:lang w:eastAsia="zh-CN"/>
              </w:rPr>
              <w:t>18</w:t>
            </w:r>
          </w:p>
        </w:tc>
        <w:tc>
          <w:tcPr>
            <w:tcW w:w="2842" w:type="dxa"/>
            <w:vMerge w:val="continue"/>
            <w:vAlign w:val="center"/>
          </w:tcPr>
          <w:p w14:paraId="29BA545A">
            <w:pPr>
              <w:pStyle w:val="13"/>
              <w:spacing w:before="105" w:line="208" w:lineRule="auto"/>
              <w:jc w:val="center"/>
              <w:rPr>
                <w:rFonts w:ascii="仿宋_GB2312" w:eastAsia="仿宋_GB2312"/>
                <w:spacing w:val="2"/>
                <w:sz w:val="24"/>
                <w:szCs w:val="24"/>
              </w:rPr>
            </w:pPr>
          </w:p>
        </w:tc>
        <w:tc>
          <w:tcPr>
            <w:tcW w:w="7963" w:type="dxa"/>
            <w:vAlign w:val="center"/>
          </w:tcPr>
          <w:p w14:paraId="6C42D6EF">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纳入涉网安全管理范围的虚拟电厂按月向电力调度机构提交可调节资源清单和变更申请，月内原则上不得随意变换可调节资源及其容量，确需调整的，在调整前向电力调度机构提交变更申请。虚拟电厂开展实时运行监测，实时掌握聚合可调节资源的运行状态，自动接收、严格执行参与市场的出清结果，并及时向市场运营机构自动报送执行情况，严禁私自篡改各类数据。</w:t>
            </w:r>
          </w:p>
        </w:tc>
        <w:tc>
          <w:tcPr>
            <w:tcW w:w="2492" w:type="dxa"/>
            <w:vAlign w:val="center"/>
          </w:tcPr>
          <w:p w14:paraId="5B3C91A6">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电力调度机构、虚拟电厂主体企业</w:t>
            </w:r>
          </w:p>
        </w:tc>
      </w:tr>
      <w:tr w14:paraId="1038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1AD83E49">
            <w:pPr>
              <w:pStyle w:val="13"/>
              <w:spacing w:before="212" w:line="161" w:lineRule="auto"/>
              <w:jc w:val="center"/>
              <w:rPr>
                <w:rFonts w:ascii="仿宋_GB2312" w:hAnsi="宋体" w:eastAsia="仿宋_GB2312" w:cs="宋体"/>
                <w:snapToGrid w:val="0"/>
                <w:color w:val="000000"/>
                <w:spacing w:val="-12"/>
                <w:kern w:val="0"/>
                <w:sz w:val="24"/>
                <w:szCs w:val="24"/>
                <w:lang w:val="en-US" w:eastAsia="zh-CN" w:bidi="ar-SA"/>
              </w:rPr>
            </w:pPr>
            <w:r>
              <w:rPr>
                <w:rFonts w:hint="eastAsia" w:ascii="仿宋_GB2312" w:eastAsia="仿宋_GB2312"/>
                <w:spacing w:val="-12"/>
                <w:sz w:val="24"/>
                <w:szCs w:val="24"/>
                <w:lang w:eastAsia="zh-CN"/>
              </w:rPr>
              <w:t>19</w:t>
            </w:r>
          </w:p>
        </w:tc>
        <w:tc>
          <w:tcPr>
            <w:tcW w:w="2842" w:type="dxa"/>
            <w:vMerge w:val="continue"/>
            <w:vAlign w:val="center"/>
          </w:tcPr>
          <w:p w14:paraId="74DA499D">
            <w:pPr>
              <w:pStyle w:val="13"/>
              <w:spacing w:before="105" w:line="208" w:lineRule="auto"/>
              <w:jc w:val="center"/>
              <w:rPr>
                <w:rFonts w:ascii="仿宋_GB2312" w:eastAsia="仿宋_GB2312"/>
                <w:spacing w:val="2"/>
                <w:sz w:val="24"/>
                <w:szCs w:val="24"/>
                <w:lang w:eastAsia="zh-CN"/>
              </w:rPr>
            </w:pPr>
          </w:p>
        </w:tc>
        <w:tc>
          <w:tcPr>
            <w:tcW w:w="7963" w:type="dxa"/>
            <w:vAlign w:val="center"/>
          </w:tcPr>
          <w:p w14:paraId="7546F6BB">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并网主体严格执行网络安全相关法律法规、国家标准及行业标准要求，优化电力监控系统网络安全防护体系，强化供应链安全管控，禁止擅自设置或预留任何外部控制接口。采用云平台等互联网技术进行监测的新能源和新型并网主体，按照法规、标准，安装网络安全监测、隔离装置等网络安全设施，并向相应调度机构备案。虚拟电厂的技术支撑系统（或平台）的涉控功能的网络安全防护严格落实《电力监控系统安全防护规定》要求。</w:t>
            </w:r>
          </w:p>
        </w:tc>
        <w:tc>
          <w:tcPr>
            <w:tcW w:w="2492" w:type="dxa"/>
            <w:vAlign w:val="center"/>
          </w:tcPr>
          <w:p w14:paraId="3E7456F3">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电力调度机构、新能源和新型并网主体企业</w:t>
            </w:r>
          </w:p>
        </w:tc>
      </w:tr>
      <w:tr w14:paraId="6ADE6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61DC1677">
            <w:pPr>
              <w:pStyle w:val="13"/>
              <w:spacing w:before="212" w:line="161" w:lineRule="auto"/>
              <w:jc w:val="center"/>
              <w:rPr>
                <w:rFonts w:ascii="仿宋_GB2312" w:hAnsi="宋体" w:eastAsia="仿宋_GB2312" w:cs="宋体"/>
                <w:snapToGrid w:val="0"/>
                <w:color w:val="000000"/>
                <w:spacing w:val="-12"/>
                <w:kern w:val="0"/>
                <w:sz w:val="24"/>
                <w:szCs w:val="24"/>
                <w:lang w:val="en-US" w:eastAsia="zh-CN" w:bidi="ar-SA"/>
              </w:rPr>
            </w:pPr>
            <w:r>
              <w:rPr>
                <w:rFonts w:hint="eastAsia" w:ascii="仿宋_GB2312" w:eastAsia="仿宋_GB2312"/>
                <w:spacing w:val="-12"/>
                <w:sz w:val="24"/>
                <w:szCs w:val="24"/>
                <w:lang w:eastAsia="zh-CN"/>
              </w:rPr>
              <w:t>20</w:t>
            </w:r>
          </w:p>
        </w:tc>
        <w:tc>
          <w:tcPr>
            <w:tcW w:w="2842" w:type="dxa"/>
            <w:vMerge w:val="continue"/>
            <w:vAlign w:val="center"/>
          </w:tcPr>
          <w:p w14:paraId="5356CE7D">
            <w:pPr>
              <w:pStyle w:val="13"/>
              <w:spacing w:before="105" w:line="208" w:lineRule="auto"/>
              <w:jc w:val="center"/>
              <w:rPr>
                <w:rFonts w:ascii="仿宋_GB2312" w:eastAsia="仿宋_GB2312"/>
                <w:spacing w:val="2"/>
                <w:sz w:val="24"/>
                <w:szCs w:val="24"/>
                <w:lang w:eastAsia="zh-CN"/>
              </w:rPr>
            </w:pPr>
          </w:p>
        </w:tc>
        <w:tc>
          <w:tcPr>
            <w:tcW w:w="7963" w:type="dxa"/>
            <w:vAlign w:val="center"/>
          </w:tcPr>
          <w:p w14:paraId="443C6388">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接入电力通信网的新能源和新型并网主体的通信设备技术指标和运行条件应符合电力通信网运行要求，并由专人维护。通信设备纳入所属电网通信机构的管理范围，应服从电网通信机构的统一调度和管理。并网主体应常态开展隐患排查治理，定期核查更新运行资料，严格按照规范流程开展通信方式、检修工作，确保上送至电力调度机构的信息完整、齐全、准确，通信链路可靠稳定。</w:t>
            </w:r>
          </w:p>
        </w:tc>
        <w:tc>
          <w:tcPr>
            <w:tcW w:w="2492" w:type="dxa"/>
            <w:vAlign w:val="center"/>
          </w:tcPr>
          <w:p w14:paraId="5BC3353E">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电力调度机构、新能源和新型并网主体企业</w:t>
            </w:r>
          </w:p>
        </w:tc>
      </w:tr>
      <w:tr w14:paraId="3641F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71310EF6">
            <w:pPr>
              <w:pStyle w:val="13"/>
              <w:spacing w:before="212" w:line="161" w:lineRule="auto"/>
              <w:jc w:val="center"/>
              <w:rPr>
                <w:rFonts w:ascii="仿宋_GB2312" w:hAnsi="宋体" w:eastAsia="仿宋_GB2312" w:cs="宋体"/>
                <w:snapToGrid w:val="0"/>
                <w:color w:val="000000"/>
                <w:spacing w:val="-12"/>
                <w:kern w:val="0"/>
                <w:sz w:val="24"/>
                <w:szCs w:val="24"/>
                <w:lang w:val="en-US" w:eastAsia="zh-CN" w:bidi="ar-SA"/>
              </w:rPr>
            </w:pPr>
            <w:r>
              <w:rPr>
                <w:rFonts w:hint="eastAsia" w:ascii="仿宋_GB2312" w:eastAsia="仿宋_GB2312"/>
                <w:spacing w:val="-12"/>
                <w:sz w:val="24"/>
                <w:szCs w:val="24"/>
                <w:lang w:eastAsia="zh-CN"/>
              </w:rPr>
              <w:t>21</w:t>
            </w:r>
          </w:p>
        </w:tc>
        <w:tc>
          <w:tcPr>
            <w:tcW w:w="2842" w:type="dxa"/>
            <w:vMerge w:val="continue"/>
            <w:vAlign w:val="center"/>
          </w:tcPr>
          <w:p w14:paraId="0217F705">
            <w:pPr>
              <w:pStyle w:val="13"/>
              <w:spacing w:before="105" w:line="208" w:lineRule="auto"/>
              <w:jc w:val="center"/>
              <w:rPr>
                <w:rFonts w:ascii="仿宋_GB2312" w:eastAsia="仿宋_GB2312"/>
                <w:spacing w:val="2"/>
                <w:sz w:val="24"/>
                <w:szCs w:val="24"/>
                <w:lang w:eastAsia="zh-CN"/>
              </w:rPr>
            </w:pPr>
          </w:p>
        </w:tc>
        <w:tc>
          <w:tcPr>
            <w:tcW w:w="7963" w:type="dxa"/>
            <w:vAlign w:val="center"/>
          </w:tcPr>
          <w:p w14:paraId="6C6C33D6">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应加强新能源和新型并网主体涉网安全管理，对于并网主体为规避电力调度机构调控而采取破坏通信设备设施等的行为，要严肃调度纪律并按照相关规定进行考核，必要时按照规定履行电网解列程序，并将情况报告四川能源监管办及省能源局。</w:t>
            </w:r>
          </w:p>
        </w:tc>
        <w:tc>
          <w:tcPr>
            <w:tcW w:w="2492" w:type="dxa"/>
            <w:vAlign w:val="center"/>
          </w:tcPr>
          <w:p w14:paraId="0E0D7B5B">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w:t>
            </w:r>
          </w:p>
        </w:tc>
      </w:tr>
      <w:tr w14:paraId="17299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668" w:type="dxa"/>
            <w:shd w:val="clear" w:color="auto" w:fill="auto"/>
            <w:vAlign w:val="center"/>
          </w:tcPr>
          <w:p w14:paraId="1BCA423D">
            <w:pPr>
              <w:pStyle w:val="13"/>
              <w:spacing w:before="212" w:line="161" w:lineRule="auto"/>
              <w:jc w:val="center"/>
              <w:rPr>
                <w:rFonts w:ascii="仿宋_GB2312" w:hAnsi="宋体" w:eastAsia="仿宋_GB2312" w:cs="宋体"/>
                <w:snapToGrid w:val="0"/>
                <w:color w:val="000000"/>
                <w:spacing w:val="-12"/>
                <w:kern w:val="0"/>
                <w:sz w:val="24"/>
                <w:szCs w:val="24"/>
                <w:lang w:val="en-US" w:eastAsia="zh-CN" w:bidi="ar-SA"/>
              </w:rPr>
            </w:pPr>
            <w:r>
              <w:rPr>
                <w:rFonts w:hint="eastAsia" w:ascii="仿宋_GB2312" w:eastAsia="仿宋_GB2312"/>
                <w:spacing w:val="-12"/>
                <w:sz w:val="24"/>
                <w:szCs w:val="24"/>
                <w:lang w:eastAsia="zh-CN"/>
              </w:rPr>
              <w:t>22</w:t>
            </w:r>
          </w:p>
        </w:tc>
        <w:tc>
          <w:tcPr>
            <w:tcW w:w="2842" w:type="dxa"/>
            <w:vMerge w:val="restart"/>
            <w:vAlign w:val="center"/>
          </w:tcPr>
          <w:p w14:paraId="395BEE8F">
            <w:pPr>
              <w:pStyle w:val="13"/>
              <w:spacing w:before="105" w:line="208" w:lineRule="auto"/>
              <w:jc w:val="center"/>
              <w:rPr>
                <w:rFonts w:ascii="仿宋_GB2312" w:eastAsia="仿宋_GB2312"/>
                <w:spacing w:val="2"/>
                <w:sz w:val="24"/>
                <w:szCs w:val="24"/>
                <w:lang w:eastAsia="zh-CN"/>
              </w:rPr>
            </w:pPr>
            <w:r>
              <w:rPr>
                <w:rFonts w:hint="eastAsia" w:ascii="仿宋_GB2312" w:eastAsia="仿宋_GB2312"/>
                <w:spacing w:val="2"/>
                <w:sz w:val="24"/>
                <w:szCs w:val="24"/>
                <w:lang w:eastAsia="zh-CN"/>
              </w:rPr>
              <w:t>（六）存量主体涉网性能改造</w:t>
            </w:r>
          </w:p>
        </w:tc>
        <w:tc>
          <w:tcPr>
            <w:tcW w:w="7963" w:type="dxa"/>
            <w:vAlign w:val="center"/>
          </w:tcPr>
          <w:p w14:paraId="16DBB9F8">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新能源和新型并网主体应按照国家有关规定，制定涉网性能改造计划，提升涉网安全能力，并将改造计划报送电力调度机构。不满足涉网安全要求的存量集中式新能源和新型并网主体应按照《光伏发电站接入电力系统技术规定》（GB/T 19964-2024）、《风电场接入电力系统技术规定》（GB/T 19963.1-2021）、《电化学储能电站接入电网技术规定》（GB/T 36547-2024）开展改造，2026年底前完成。不满足涉网安全管理要求的10kV以上存量分布式新能源应按照《光伏发电系统接入配电网技术规定》（GB/T 29319-2024）、《分布式电源并网技术要求》（GB/T33593-2017）、《光伏发电并网逆变器技术要求》（GB/T 37408-2019）开展改造，2027年底前完成。</w:t>
            </w:r>
          </w:p>
        </w:tc>
        <w:tc>
          <w:tcPr>
            <w:tcW w:w="2492" w:type="dxa"/>
            <w:vAlign w:val="center"/>
          </w:tcPr>
          <w:p w14:paraId="067A26A7">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电力调度机构、新能源和新型并网主体企业</w:t>
            </w:r>
          </w:p>
        </w:tc>
      </w:tr>
      <w:tr w14:paraId="546B8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8" w:type="dxa"/>
            <w:shd w:val="clear" w:color="auto" w:fill="auto"/>
            <w:vAlign w:val="center"/>
          </w:tcPr>
          <w:p w14:paraId="3207C635">
            <w:pPr>
              <w:pStyle w:val="13"/>
              <w:spacing w:before="212" w:line="161" w:lineRule="auto"/>
              <w:jc w:val="center"/>
              <w:rPr>
                <w:rFonts w:ascii="仿宋_GB2312" w:hAnsi="宋体" w:eastAsia="仿宋_GB2312" w:cs="宋体"/>
                <w:snapToGrid w:val="0"/>
                <w:color w:val="000000"/>
                <w:spacing w:val="-12"/>
                <w:kern w:val="0"/>
                <w:sz w:val="24"/>
                <w:szCs w:val="24"/>
                <w:lang w:val="en-US" w:eastAsia="zh-CN" w:bidi="ar-SA"/>
              </w:rPr>
            </w:pPr>
            <w:r>
              <w:rPr>
                <w:rFonts w:hint="eastAsia" w:ascii="仿宋_GB2312" w:eastAsia="仿宋_GB2312"/>
                <w:spacing w:val="-12"/>
                <w:sz w:val="24"/>
                <w:szCs w:val="24"/>
                <w:lang w:eastAsia="zh-CN"/>
              </w:rPr>
              <w:t>2</w:t>
            </w:r>
            <w:r>
              <w:rPr>
                <w:rFonts w:hint="eastAsia" w:ascii="仿宋_GB2312" w:eastAsia="仿宋_GB2312"/>
                <w:spacing w:val="-12"/>
                <w:sz w:val="24"/>
                <w:szCs w:val="24"/>
                <w:lang w:val="en-US" w:eastAsia="zh-CN"/>
              </w:rPr>
              <w:t>3</w:t>
            </w:r>
          </w:p>
        </w:tc>
        <w:tc>
          <w:tcPr>
            <w:tcW w:w="2842" w:type="dxa"/>
            <w:vMerge w:val="continue"/>
            <w:vAlign w:val="center"/>
          </w:tcPr>
          <w:p w14:paraId="6F4B9ECA">
            <w:pPr>
              <w:pStyle w:val="13"/>
              <w:spacing w:before="105" w:line="208" w:lineRule="auto"/>
              <w:jc w:val="center"/>
              <w:rPr>
                <w:rFonts w:ascii="仿宋_GB2312" w:eastAsia="仿宋_GB2312"/>
                <w:spacing w:val="2"/>
                <w:sz w:val="24"/>
                <w:szCs w:val="24"/>
                <w:lang w:eastAsia="zh-CN"/>
              </w:rPr>
            </w:pPr>
          </w:p>
        </w:tc>
        <w:tc>
          <w:tcPr>
            <w:tcW w:w="7963" w:type="dxa"/>
            <w:vAlign w:val="center"/>
          </w:tcPr>
          <w:p w14:paraId="4317ACC9">
            <w:pPr>
              <w:pStyle w:val="13"/>
              <w:spacing w:line="219" w:lineRule="auto"/>
              <w:jc w:val="center"/>
              <w:rPr>
                <w:rFonts w:ascii="仿宋_GB2312" w:eastAsia="仿宋_GB2312"/>
                <w:spacing w:val="1"/>
                <w:sz w:val="24"/>
                <w:szCs w:val="24"/>
                <w:lang w:eastAsia="zh-CN"/>
              </w:rPr>
            </w:pPr>
            <w:r>
              <w:rPr>
                <w:rFonts w:hint="eastAsia" w:ascii="仿宋_GB2312" w:eastAsia="仿宋_GB2312"/>
                <w:spacing w:val="1"/>
                <w:sz w:val="24"/>
                <w:szCs w:val="24"/>
                <w:lang w:eastAsia="zh-CN"/>
              </w:rPr>
              <w:t>未按期完成涉网性能改造的新能源和新型并网主体，电力调度机构按相关规定予以考核。改造期间应按照安全约束采取优先参与电网调峰或控制出力等措施，弃电量纳入特殊原因受限电量统计。电力调度机构应密切跟踪新能源和新型并网主体涉网性能改造情况，按季度向四川能源监管办和省能源局汇报进展情况。</w:t>
            </w:r>
          </w:p>
        </w:tc>
        <w:tc>
          <w:tcPr>
            <w:tcW w:w="2492" w:type="dxa"/>
            <w:vAlign w:val="center"/>
          </w:tcPr>
          <w:p w14:paraId="7E4C692B">
            <w:pPr>
              <w:pStyle w:val="13"/>
              <w:keepNext w:val="0"/>
              <w:keepLines w:val="0"/>
              <w:pageBreakBefore w:val="0"/>
              <w:widowControl/>
              <w:kinsoku w:val="0"/>
              <w:wordWrap/>
              <w:overflowPunct/>
              <w:topLinePunct w:val="0"/>
              <w:bidi w:val="0"/>
              <w:adjustRightInd w:val="0"/>
              <w:snapToGrid w:val="0"/>
              <w:spacing w:line="300" w:lineRule="exact"/>
              <w:ind w:left="0" w:right="0"/>
              <w:jc w:val="center"/>
              <w:textAlignment w:val="baseline"/>
              <w:rPr>
                <w:rFonts w:ascii="仿宋_GB2312" w:eastAsia="仿宋_GB2312"/>
                <w:spacing w:val="1"/>
                <w:sz w:val="24"/>
                <w:szCs w:val="24"/>
                <w:lang w:eastAsia="zh-CN"/>
              </w:rPr>
            </w:pPr>
            <w:r>
              <w:rPr>
                <w:rFonts w:hint="eastAsia" w:ascii="仿宋_GB2312" w:eastAsia="仿宋_GB2312"/>
                <w:spacing w:val="1"/>
                <w:sz w:val="24"/>
                <w:szCs w:val="24"/>
                <w:lang w:eastAsia="zh-CN"/>
              </w:rPr>
              <w:t>电力调度机构、新能源和新型并网主体企业</w:t>
            </w:r>
          </w:p>
        </w:tc>
      </w:tr>
    </w:tbl>
    <w:p w14:paraId="4E13B8DE"/>
    <w:p w14:paraId="3AC8C626"/>
    <w:p w14:paraId="3C3B47B3"/>
    <w:p w14:paraId="55F5ECC4"/>
    <w:p w14:paraId="03CA1CAB"/>
    <w:p w14:paraId="1962BF7B"/>
    <w:p w14:paraId="0E28F1E4"/>
    <w:p w14:paraId="3D86F985"/>
    <w:p w14:paraId="0B1A6AB2">
      <w:pPr>
        <w:keepNext w:val="0"/>
        <w:keepLines w:val="0"/>
        <w:pageBreakBefore/>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附件2</w:t>
      </w:r>
    </w:p>
    <w:p w14:paraId="0D3436F4">
      <w:pPr>
        <w:bidi w:val="0"/>
        <w:rPr>
          <w:rFonts w:hint="eastAsia"/>
          <w:lang w:val="en-US" w:eastAsia="zh-CN"/>
        </w:rPr>
      </w:pPr>
    </w:p>
    <w:p w14:paraId="54D68931">
      <w:pPr>
        <w:bidi w:val="0"/>
        <w:rPr>
          <w:rFonts w:hint="eastAsia"/>
          <w:lang w:val="en-US" w:eastAsia="zh-CN"/>
        </w:rPr>
      </w:pPr>
    </w:p>
    <w:p w14:paraId="7C0C20E1">
      <w:pPr>
        <w:ind w:left="0" w:leftChars="0" w:firstLine="0" w:firstLineChars="0"/>
        <w:jc w:val="center"/>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意见</w:t>
      </w:r>
      <w:r>
        <w:rPr>
          <w:rFonts w:hint="eastAsia" w:ascii="方正小标宋简体" w:hAnsi="方正小标宋简体" w:eastAsia="方正小标宋简体" w:cs="方正小标宋简体"/>
          <w:sz w:val="44"/>
          <w:szCs w:val="52"/>
          <w:lang w:val="en-US" w:eastAsia="zh-CN"/>
        </w:rPr>
        <w:t>反馈</w:t>
      </w:r>
      <w:r>
        <w:rPr>
          <w:rFonts w:hint="eastAsia" w:ascii="方正小标宋简体" w:hAnsi="方正小标宋简体" w:eastAsia="方正小标宋简体" w:cs="方正小标宋简体"/>
          <w:sz w:val="44"/>
          <w:szCs w:val="52"/>
        </w:rPr>
        <w:t>表</w:t>
      </w:r>
    </w:p>
    <w:tbl>
      <w:tblPr>
        <w:tblStyle w:val="9"/>
        <w:tblW w:w="11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260"/>
        <w:gridCol w:w="2740"/>
        <w:gridCol w:w="2600"/>
        <w:gridCol w:w="1160"/>
        <w:gridCol w:w="1814"/>
      </w:tblGrid>
      <w:tr w14:paraId="7ECF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8" w:type="dxa"/>
            <w:vAlign w:val="center"/>
          </w:tcPr>
          <w:p w14:paraId="03F54E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黑体" w:hAnsi="黑体" w:eastAsia="黑体" w:cs="黑体"/>
                <w:sz w:val="28"/>
                <w:szCs w:val="36"/>
              </w:rPr>
            </w:pPr>
            <w:r>
              <w:rPr>
                <w:rFonts w:hint="eastAsia" w:ascii="黑体" w:hAnsi="黑体" w:eastAsia="黑体" w:cs="黑体"/>
                <w:sz w:val="28"/>
                <w:szCs w:val="36"/>
              </w:rPr>
              <w:t>序号</w:t>
            </w:r>
          </w:p>
        </w:tc>
        <w:tc>
          <w:tcPr>
            <w:tcW w:w="2260" w:type="dxa"/>
            <w:vAlign w:val="center"/>
          </w:tcPr>
          <w:p w14:paraId="19681F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原文内容</w:t>
            </w:r>
          </w:p>
        </w:tc>
        <w:tc>
          <w:tcPr>
            <w:tcW w:w="2740" w:type="dxa"/>
            <w:vAlign w:val="center"/>
          </w:tcPr>
          <w:p w14:paraId="499EAF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修订后内容</w:t>
            </w:r>
          </w:p>
          <w:p w14:paraId="41496F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（修改处加粗显示）</w:t>
            </w:r>
          </w:p>
        </w:tc>
        <w:tc>
          <w:tcPr>
            <w:tcW w:w="2600" w:type="dxa"/>
            <w:vAlign w:val="center"/>
          </w:tcPr>
          <w:p w14:paraId="3F9409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修订理由</w:t>
            </w:r>
          </w:p>
        </w:tc>
        <w:tc>
          <w:tcPr>
            <w:tcW w:w="1160" w:type="dxa"/>
            <w:vAlign w:val="center"/>
          </w:tcPr>
          <w:p w14:paraId="3F4D9A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单位</w:t>
            </w:r>
          </w:p>
        </w:tc>
        <w:tc>
          <w:tcPr>
            <w:tcW w:w="1814" w:type="dxa"/>
            <w:vAlign w:val="center"/>
          </w:tcPr>
          <w:p w14:paraId="0CF65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联系手机号（以备沟通）</w:t>
            </w:r>
          </w:p>
        </w:tc>
      </w:tr>
      <w:tr w14:paraId="6658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28" w:type="dxa"/>
            <w:vAlign w:val="center"/>
          </w:tcPr>
          <w:p w14:paraId="25F225CF">
            <w:pPr>
              <w:bidi w:val="0"/>
              <w:ind w:left="0" w:leftChars="0" w:firstLine="0" w:firstLineChars="0"/>
              <w:jc w:val="center"/>
              <w:rPr>
                <w:rFonts w:hint="eastAsia" w:eastAsia="仿宋_GB2312"/>
                <w:sz w:val="21"/>
                <w:szCs w:val="18"/>
                <w:lang w:val="en-US" w:eastAsia="zh-CN"/>
              </w:rPr>
            </w:pPr>
            <w:r>
              <w:rPr>
                <w:rFonts w:hint="eastAsia"/>
                <w:sz w:val="21"/>
                <w:szCs w:val="18"/>
                <w:lang w:val="en-US" w:eastAsia="zh-CN"/>
              </w:rPr>
              <w:t>1</w:t>
            </w:r>
          </w:p>
        </w:tc>
        <w:tc>
          <w:tcPr>
            <w:tcW w:w="2260" w:type="dxa"/>
            <w:vAlign w:val="center"/>
          </w:tcPr>
          <w:p w14:paraId="08426EB1">
            <w:pPr>
              <w:bidi w:val="0"/>
              <w:jc w:val="both"/>
              <w:rPr>
                <w:rFonts w:hint="eastAsia"/>
                <w:sz w:val="21"/>
                <w:szCs w:val="18"/>
                <w:lang w:val="en-US" w:eastAsia="zh-CN"/>
              </w:rPr>
            </w:pPr>
          </w:p>
        </w:tc>
        <w:tc>
          <w:tcPr>
            <w:tcW w:w="2740" w:type="dxa"/>
            <w:vAlign w:val="center"/>
          </w:tcPr>
          <w:p w14:paraId="087DE4A8">
            <w:pPr>
              <w:bidi w:val="0"/>
              <w:jc w:val="both"/>
              <w:rPr>
                <w:rFonts w:hint="default"/>
                <w:sz w:val="21"/>
                <w:szCs w:val="18"/>
                <w:lang w:val="en-US" w:eastAsia="zh-CN"/>
              </w:rPr>
            </w:pPr>
          </w:p>
        </w:tc>
        <w:tc>
          <w:tcPr>
            <w:tcW w:w="2600" w:type="dxa"/>
            <w:vAlign w:val="center"/>
          </w:tcPr>
          <w:p w14:paraId="2685875A">
            <w:pPr>
              <w:bidi w:val="0"/>
              <w:jc w:val="both"/>
              <w:rPr>
                <w:rFonts w:hint="eastAsia"/>
                <w:sz w:val="21"/>
                <w:szCs w:val="18"/>
                <w:lang w:val="en-US" w:eastAsia="zh-CN"/>
              </w:rPr>
            </w:pPr>
          </w:p>
        </w:tc>
        <w:tc>
          <w:tcPr>
            <w:tcW w:w="1160" w:type="dxa"/>
            <w:vAlign w:val="center"/>
          </w:tcPr>
          <w:p w14:paraId="75AE1095">
            <w:pPr>
              <w:bidi w:val="0"/>
              <w:jc w:val="both"/>
              <w:rPr>
                <w:rFonts w:hint="eastAsia"/>
                <w:sz w:val="21"/>
                <w:szCs w:val="18"/>
                <w:lang w:val="en-US" w:eastAsia="zh-CN"/>
              </w:rPr>
            </w:pPr>
          </w:p>
        </w:tc>
        <w:tc>
          <w:tcPr>
            <w:tcW w:w="1814" w:type="dxa"/>
            <w:vAlign w:val="center"/>
          </w:tcPr>
          <w:p w14:paraId="4CEE0FDF">
            <w:pPr>
              <w:bidi w:val="0"/>
              <w:jc w:val="center"/>
              <w:rPr>
                <w:rFonts w:hint="eastAsia"/>
                <w:sz w:val="21"/>
                <w:szCs w:val="18"/>
                <w:lang w:val="en-US" w:eastAsia="zh-CN"/>
              </w:rPr>
            </w:pPr>
          </w:p>
        </w:tc>
      </w:tr>
      <w:tr w14:paraId="0B94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28" w:type="dxa"/>
            <w:vAlign w:val="center"/>
          </w:tcPr>
          <w:p w14:paraId="03118272">
            <w:pPr>
              <w:bidi w:val="0"/>
              <w:ind w:left="0" w:leftChars="0" w:firstLine="0" w:firstLineChars="0"/>
              <w:jc w:val="center"/>
              <w:rPr>
                <w:rFonts w:hint="default"/>
                <w:sz w:val="21"/>
                <w:szCs w:val="18"/>
                <w:lang w:val="en-US" w:eastAsia="zh-CN"/>
              </w:rPr>
            </w:pPr>
            <w:r>
              <w:rPr>
                <w:rFonts w:hint="eastAsia"/>
                <w:sz w:val="21"/>
                <w:szCs w:val="18"/>
                <w:lang w:val="en-US" w:eastAsia="zh-CN"/>
              </w:rPr>
              <w:t>2</w:t>
            </w:r>
          </w:p>
        </w:tc>
        <w:tc>
          <w:tcPr>
            <w:tcW w:w="2260" w:type="dxa"/>
            <w:vAlign w:val="center"/>
          </w:tcPr>
          <w:p w14:paraId="1B193FA7">
            <w:pPr>
              <w:bidi w:val="0"/>
              <w:jc w:val="both"/>
              <w:rPr>
                <w:rFonts w:hint="eastAsia"/>
                <w:sz w:val="21"/>
                <w:szCs w:val="18"/>
                <w:lang w:val="en-US" w:eastAsia="zh-CN"/>
              </w:rPr>
            </w:pPr>
          </w:p>
        </w:tc>
        <w:tc>
          <w:tcPr>
            <w:tcW w:w="2740" w:type="dxa"/>
            <w:vAlign w:val="center"/>
          </w:tcPr>
          <w:p w14:paraId="63813FCC">
            <w:pPr>
              <w:bidi w:val="0"/>
              <w:jc w:val="both"/>
              <w:rPr>
                <w:rFonts w:hint="default"/>
                <w:sz w:val="21"/>
                <w:szCs w:val="18"/>
                <w:lang w:val="en-US" w:eastAsia="zh-CN"/>
              </w:rPr>
            </w:pPr>
          </w:p>
        </w:tc>
        <w:tc>
          <w:tcPr>
            <w:tcW w:w="2600" w:type="dxa"/>
            <w:vAlign w:val="center"/>
          </w:tcPr>
          <w:p w14:paraId="6414A81F">
            <w:pPr>
              <w:bidi w:val="0"/>
              <w:jc w:val="both"/>
              <w:rPr>
                <w:rFonts w:hint="eastAsia"/>
                <w:sz w:val="21"/>
                <w:szCs w:val="18"/>
                <w:lang w:val="en-US" w:eastAsia="zh-CN"/>
              </w:rPr>
            </w:pPr>
          </w:p>
        </w:tc>
        <w:tc>
          <w:tcPr>
            <w:tcW w:w="1160" w:type="dxa"/>
            <w:vAlign w:val="center"/>
          </w:tcPr>
          <w:p w14:paraId="6E912721">
            <w:pPr>
              <w:bidi w:val="0"/>
              <w:jc w:val="both"/>
              <w:rPr>
                <w:rFonts w:hint="eastAsia"/>
                <w:sz w:val="21"/>
                <w:szCs w:val="18"/>
                <w:lang w:val="en-US" w:eastAsia="zh-CN"/>
              </w:rPr>
            </w:pPr>
          </w:p>
        </w:tc>
        <w:tc>
          <w:tcPr>
            <w:tcW w:w="1814" w:type="dxa"/>
            <w:vAlign w:val="center"/>
          </w:tcPr>
          <w:p w14:paraId="6F0CCB7D">
            <w:pPr>
              <w:bidi w:val="0"/>
              <w:jc w:val="center"/>
              <w:rPr>
                <w:rFonts w:hint="eastAsia"/>
                <w:sz w:val="21"/>
                <w:szCs w:val="18"/>
                <w:lang w:val="en-US" w:eastAsia="zh-CN"/>
              </w:rPr>
            </w:pPr>
          </w:p>
        </w:tc>
      </w:tr>
      <w:tr w14:paraId="3500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28" w:type="dxa"/>
            <w:vAlign w:val="center"/>
          </w:tcPr>
          <w:p w14:paraId="1E0D00E8">
            <w:pPr>
              <w:bidi w:val="0"/>
              <w:ind w:left="0" w:leftChars="0" w:firstLine="0" w:firstLineChars="0"/>
              <w:jc w:val="center"/>
              <w:rPr>
                <w:rFonts w:hint="default"/>
                <w:sz w:val="21"/>
                <w:szCs w:val="18"/>
                <w:lang w:val="en-US" w:eastAsia="zh-CN"/>
              </w:rPr>
            </w:pPr>
            <w:r>
              <w:rPr>
                <w:rFonts w:hint="eastAsia"/>
                <w:sz w:val="21"/>
                <w:szCs w:val="18"/>
                <w:lang w:val="en-US" w:eastAsia="zh-CN"/>
              </w:rPr>
              <w:t>...</w:t>
            </w:r>
          </w:p>
        </w:tc>
        <w:tc>
          <w:tcPr>
            <w:tcW w:w="2260" w:type="dxa"/>
            <w:vAlign w:val="center"/>
          </w:tcPr>
          <w:p w14:paraId="73E84E02">
            <w:pPr>
              <w:bidi w:val="0"/>
              <w:jc w:val="both"/>
              <w:rPr>
                <w:rFonts w:hint="eastAsia"/>
                <w:sz w:val="21"/>
                <w:szCs w:val="18"/>
                <w:lang w:val="en-US" w:eastAsia="zh-CN"/>
              </w:rPr>
            </w:pPr>
          </w:p>
        </w:tc>
        <w:tc>
          <w:tcPr>
            <w:tcW w:w="2740" w:type="dxa"/>
            <w:vAlign w:val="center"/>
          </w:tcPr>
          <w:p w14:paraId="17F8D415">
            <w:pPr>
              <w:bidi w:val="0"/>
              <w:jc w:val="both"/>
              <w:rPr>
                <w:rFonts w:hint="default"/>
                <w:sz w:val="21"/>
                <w:szCs w:val="18"/>
                <w:lang w:val="en-US" w:eastAsia="zh-CN"/>
              </w:rPr>
            </w:pPr>
          </w:p>
        </w:tc>
        <w:tc>
          <w:tcPr>
            <w:tcW w:w="2600" w:type="dxa"/>
            <w:vAlign w:val="center"/>
          </w:tcPr>
          <w:p w14:paraId="55002AB1">
            <w:pPr>
              <w:bidi w:val="0"/>
              <w:jc w:val="both"/>
              <w:rPr>
                <w:rFonts w:hint="eastAsia"/>
                <w:sz w:val="21"/>
                <w:szCs w:val="18"/>
                <w:lang w:val="en-US" w:eastAsia="zh-CN"/>
              </w:rPr>
            </w:pPr>
          </w:p>
        </w:tc>
        <w:tc>
          <w:tcPr>
            <w:tcW w:w="1160" w:type="dxa"/>
            <w:vAlign w:val="center"/>
          </w:tcPr>
          <w:p w14:paraId="2B1C5A3D">
            <w:pPr>
              <w:bidi w:val="0"/>
              <w:jc w:val="both"/>
              <w:rPr>
                <w:rFonts w:hint="eastAsia"/>
                <w:sz w:val="21"/>
                <w:szCs w:val="18"/>
                <w:lang w:val="en-US" w:eastAsia="zh-CN"/>
              </w:rPr>
            </w:pPr>
          </w:p>
        </w:tc>
        <w:tc>
          <w:tcPr>
            <w:tcW w:w="1814" w:type="dxa"/>
            <w:vAlign w:val="center"/>
          </w:tcPr>
          <w:p w14:paraId="6C8F4622">
            <w:pPr>
              <w:bidi w:val="0"/>
              <w:jc w:val="center"/>
              <w:rPr>
                <w:rFonts w:hint="eastAsia"/>
                <w:sz w:val="21"/>
                <w:szCs w:val="18"/>
                <w:lang w:val="en-US" w:eastAsia="zh-CN"/>
              </w:rPr>
            </w:pPr>
          </w:p>
        </w:tc>
      </w:tr>
    </w:tbl>
    <w:p w14:paraId="7D65BBEF">
      <w:bookmarkStart w:id="0" w:name="_GoBack"/>
      <w:bookmarkEnd w:id="0"/>
    </w:p>
    <w:sectPr>
      <w:footerReference r:id="rId4" w:type="default"/>
      <w:pgSz w:w="16838" w:h="11906" w:orient="landscape"/>
      <w:pgMar w:top="1800" w:right="1440" w:bottom="1800" w:left="144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EE9D8BC">
        <w:pPr>
          <w:pStyle w:val="4"/>
          <w:jc w:val="center"/>
        </w:pPr>
        <w:r>
          <w:fldChar w:fldCharType="begin"/>
        </w:r>
        <w:r>
          <w:instrText xml:space="preserve">PAGE   \* MERGEFORMAT</w:instrText>
        </w:r>
        <w:r>
          <w:fldChar w:fldCharType="separate"/>
        </w:r>
        <w:r>
          <w:rPr>
            <w:lang w:val="zh-CN"/>
          </w:rPr>
          <w:t>2</w:t>
        </w:r>
        <w:r>
          <w:fldChar w:fldCharType="end"/>
        </w:r>
      </w:p>
    </w:sdtContent>
  </w:sdt>
  <w:p w14:paraId="0C2C57E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E466">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FE"/>
    <w:rsid w:val="00081C99"/>
    <w:rsid w:val="00283CE1"/>
    <w:rsid w:val="002F7879"/>
    <w:rsid w:val="003343F9"/>
    <w:rsid w:val="00513D7D"/>
    <w:rsid w:val="00864804"/>
    <w:rsid w:val="00864AD3"/>
    <w:rsid w:val="0087066D"/>
    <w:rsid w:val="009102E2"/>
    <w:rsid w:val="00947411"/>
    <w:rsid w:val="009E0BFE"/>
    <w:rsid w:val="00BF6B36"/>
    <w:rsid w:val="00C651DC"/>
    <w:rsid w:val="00CE1F3F"/>
    <w:rsid w:val="00EA37D2"/>
    <w:rsid w:val="00EB7C11"/>
    <w:rsid w:val="00EF40D9"/>
    <w:rsid w:val="0ADF3DAE"/>
    <w:rsid w:val="0E125376"/>
    <w:rsid w:val="0FDB4796"/>
    <w:rsid w:val="11E608FC"/>
    <w:rsid w:val="168627B9"/>
    <w:rsid w:val="191B4BBD"/>
    <w:rsid w:val="1A914CB2"/>
    <w:rsid w:val="1F7C3E55"/>
    <w:rsid w:val="20D16315"/>
    <w:rsid w:val="20F50681"/>
    <w:rsid w:val="2489712A"/>
    <w:rsid w:val="28E030AB"/>
    <w:rsid w:val="290B6C4C"/>
    <w:rsid w:val="2E72731D"/>
    <w:rsid w:val="325D2EF7"/>
    <w:rsid w:val="330F1105"/>
    <w:rsid w:val="33C94376"/>
    <w:rsid w:val="34B9026B"/>
    <w:rsid w:val="36F00007"/>
    <w:rsid w:val="3C8B2213"/>
    <w:rsid w:val="3E1B29D5"/>
    <w:rsid w:val="3E2E5086"/>
    <w:rsid w:val="4A531CA1"/>
    <w:rsid w:val="4EAC1E6E"/>
    <w:rsid w:val="50257E0B"/>
    <w:rsid w:val="522D56FF"/>
    <w:rsid w:val="55C50379"/>
    <w:rsid w:val="562573F1"/>
    <w:rsid w:val="5DC561BD"/>
    <w:rsid w:val="646521F0"/>
    <w:rsid w:val="681F7C71"/>
    <w:rsid w:val="687204E1"/>
    <w:rsid w:val="68FB37DD"/>
    <w:rsid w:val="6C004A48"/>
    <w:rsid w:val="6C794B8D"/>
    <w:rsid w:val="722109F2"/>
    <w:rsid w:val="724F6BFA"/>
    <w:rsid w:val="737E70EB"/>
    <w:rsid w:val="7A990D61"/>
    <w:rsid w:val="7F2E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ind w:firstLine="540" w:firstLineChars="225"/>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qFormat/>
    <w:uiPriority w:val="0"/>
    <w:rPr>
      <w:b/>
      <w:bCs/>
    </w:rPr>
  </w:style>
  <w:style w:type="paragraph" w:styleId="7">
    <w:name w:val="Body Text First Indent 2"/>
    <w:basedOn w:val="3"/>
    <w:next w:val="1"/>
    <w:qFormat/>
    <w:uiPriority w:val="0"/>
    <w:pPr>
      <w:ind w:firstLine="640" w:firstLineChars="200"/>
    </w:pPr>
    <w:rPr>
      <w:rFonts w:hint="eastAsia" w:ascii="宋体" w:hAnsi="宋体"/>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42"/>
      <w:szCs w:val="42"/>
      <w:lang w:eastAsia="en-US"/>
    </w:rPr>
  </w:style>
  <w:style w:type="table" w:customStyle="1" w:styleId="14">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15">
    <w:name w:val="页眉 字符"/>
    <w:basedOn w:val="10"/>
    <w:link w:val="5"/>
    <w:qFormat/>
    <w:uiPriority w:val="0"/>
    <w:rPr>
      <w:rFonts w:ascii="Times New Roman" w:hAnsi="Times New Roman" w:eastAsia="宋体" w:cs="Times New Roman"/>
      <w:kern w:val="2"/>
      <w:sz w:val="18"/>
      <w:szCs w:val="18"/>
    </w:rPr>
  </w:style>
  <w:style w:type="character" w:customStyle="1" w:styleId="16">
    <w:name w:val="批注文字 字符"/>
    <w:basedOn w:val="10"/>
    <w:link w:val="2"/>
    <w:qFormat/>
    <w:uiPriority w:val="0"/>
    <w:rPr>
      <w:rFonts w:ascii="Times New Roman" w:hAnsi="Times New Roman" w:eastAsia="宋体" w:cs="Times New Roman"/>
      <w:kern w:val="2"/>
      <w:sz w:val="21"/>
      <w:szCs w:val="24"/>
    </w:rPr>
  </w:style>
  <w:style w:type="character" w:customStyle="1" w:styleId="17">
    <w:name w:val="批注主题 字符"/>
    <w:basedOn w:val="16"/>
    <w:link w:val="6"/>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5670</Words>
  <Characters>5898</Characters>
  <Lines>50</Lines>
  <Paragraphs>14</Paragraphs>
  <TotalTime>0</TotalTime>
  <ScaleCrop>false</ScaleCrop>
  <LinksUpToDate>false</LinksUpToDate>
  <CharactersWithSpaces>6036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2025-02-26T06:51:00Z</dcterms:created>
  <dc:creator>Administrator</dc:creator>
  <cp:lastModifiedBy>何承斌</cp:lastModifiedBy>
  <cp:lastPrinted>2025-03-20T10:53:00Z</cp:lastPrinted>
  <dcterms:modified xsi:type="dcterms:W3CDTF">2025-03-21T02:49:39Z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eyJoZGlkIjoiYTRmNDI0NWJjYWFlNzgwMjgyZGEyNDkwYzhkODJmYWQiLCJ1c2VySWQiOiI0NjE4MTYzNjUifQ==</vt:lpwstr>
  </property>
  <property fmtid="{D5CDD505-2E9C-101B-9397-08002B2CF9AE}" pid="4" name="ICV">
    <vt:lpwstr>A59BC6A1181C4BFFBCBDEADE802C300F_13</vt:lpwstr>
  </property>
</Properties>
</file>