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B71F">
      <w:pPr>
        <w:adjustRightInd w:val="0"/>
        <w:snapToGrid w:val="0"/>
        <w:spacing w:line="620" w:lineRule="exact"/>
        <w:ind w:firstLine="0" w:firstLineChars="0"/>
        <w:jc w:val="center"/>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《四川省电力辅助服务管理实施细则》和《四川省电力并网管理实施细则》条款解读</w:t>
      </w:r>
    </w:p>
    <w:p w14:paraId="385E15CE">
      <w:pPr>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
          <w:kern w:val="0"/>
          <w:sz w:val="32"/>
          <w:szCs w:val="32"/>
          <w:lang w:val="en-US" w:eastAsia="zh-Hans"/>
        </w:rPr>
      </w:pPr>
    </w:p>
    <w:p w14:paraId="337AD89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000000"/>
          <w:kern w:val="32"/>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进一步优化完善市场环境下的涉网安全管控、确保电力市场平稳有序和电网安全稳定运行，国家能源局四川监管办公室于2026年4月3日印发了2026年版《四川省电力辅助服务管理实施细则》和《四川省电力并网管理实施细则》（以下简称新版“两个细则”）。现对主要调整条款进行解读。</w:t>
      </w:r>
    </w:p>
    <w:p w14:paraId="2F1ACF0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一、</w:t>
      </w:r>
      <w:r>
        <w:rPr>
          <w:rFonts w:hint="eastAsia" w:ascii="黑体" w:hAnsi="黑体" w:eastAsia="黑体" w:cs="黑体"/>
          <w:b w:val="0"/>
          <w:bCs w:val="0"/>
          <w:color w:val="000000"/>
          <w:kern w:val="32"/>
          <w:sz w:val="32"/>
          <w:szCs w:val="32"/>
          <w:highlight w:val="none"/>
          <w:lang w:val="en-US" w:eastAsia="zh-CN"/>
        </w:rPr>
        <w:t>取消燃煤、新能源及独立储能调峰补偿</w:t>
      </w:r>
    </w:p>
    <w:p w14:paraId="17FDDD9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根据国家相关政策</w:t>
      </w:r>
      <w:r>
        <w:rPr>
          <w:rFonts w:hint="default" w:ascii="Times New Roman" w:hAnsi="Times New Roman" w:eastAsia="仿宋_GB2312" w:cs="Times New Roman"/>
          <w:b w:val="0"/>
          <w:bCs w:val="0"/>
          <w:color w:val="auto"/>
          <w:sz w:val="32"/>
          <w:szCs w:val="32"/>
          <w:highlight w:val="none"/>
          <w:lang w:val="en-US" w:eastAsia="zh-CN"/>
        </w:rPr>
        <w:t>规定，“现货市场结算运行期间，市场化机组调峰补偿不再运行”，燃煤机组、新能源（含配建储能）、独立储能将不再获得调峰补偿费用，仅燃气机组启停调峰补偿、生物质能电站调峰补偿继续运行。</w:t>
      </w:r>
      <w:r>
        <w:rPr>
          <w:rFonts w:hint="default" w:ascii="Times New Roman" w:hAnsi="Times New Roman" w:eastAsia="仿宋_GB2312" w:cs="Times New Roman"/>
          <w:b w:val="0"/>
          <w:bCs w:val="0"/>
          <w:color w:val="auto"/>
          <w:kern w:val="2"/>
          <w:sz w:val="32"/>
          <w:szCs w:val="32"/>
          <w:highlight w:val="none"/>
          <w:lang w:val="en-US" w:eastAsia="zh-CN" w:bidi="ar-SA"/>
        </w:rPr>
        <w:t>基于表述完整性</w:t>
      </w:r>
      <w:r>
        <w:rPr>
          <w:rFonts w:hint="default" w:ascii="Times New Roman" w:hAnsi="Times New Roman" w:eastAsia="仿宋_GB2312" w:cs="Times New Roman"/>
          <w:b w:val="0"/>
          <w:bCs w:val="0"/>
          <w:color w:val="auto"/>
          <w:sz w:val="32"/>
          <w:szCs w:val="32"/>
          <w:highlight w:val="none"/>
          <w:lang w:val="en-US" w:eastAsia="zh-CN"/>
        </w:rPr>
        <w:t>，保留了燃煤机组、独立储能调峰补偿内容的相关描述。</w:t>
      </w:r>
    </w:p>
    <w:p w14:paraId="2DD31817">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黑体" w:hAnsi="黑体" w:eastAsia="黑体" w:cs="黑体"/>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二、</w:t>
      </w:r>
      <w:r>
        <w:rPr>
          <w:rFonts w:hint="default" w:ascii="黑体" w:hAnsi="黑体" w:eastAsia="黑体" w:cs="黑体"/>
          <w:b w:val="0"/>
          <w:bCs w:val="0"/>
          <w:color w:val="000000"/>
          <w:kern w:val="32"/>
          <w:sz w:val="32"/>
          <w:szCs w:val="32"/>
          <w:highlight w:val="none"/>
          <w:lang w:val="en-US" w:eastAsia="zh-CN"/>
        </w:rPr>
        <w:t>新增新能源配建储能协同运行补偿</w:t>
      </w:r>
    </w:p>
    <w:p w14:paraId="04C4C85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000000"/>
          <w:kern w:val="32"/>
          <w:sz w:val="32"/>
          <w:szCs w:val="32"/>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为鼓励具有配建储能的新能源通过储能自主调用提高现货市场出清结果的执行准确率，结合2024年版“两个细则”对于配建储能补偿原则、参考南方电网配建储能补偿情况，新增新能源配建储能协同运行补偿，设定补偿标准为40元/兆瓦时且补偿上限为每月60次。同时明确与现货市场直接相关的超短期预测准确率和可用功率合格率需高于全网平均水平，即配储的新能源预测水平不得低于未配储的新能源。</w:t>
      </w:r>
    </w:p>
    <w:p w14:paraId="39C54E8E">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黑体" w:hAnsi="黑体" w:eastAsia="黑体" w:cs="黑体"/>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三、</w:t>
      </w:r>
      <w:r>
        <w:rPr>
          <w:rFonts w:hint="default" w:ascii="黑体" w:hAnsi="黑体" w:eastAsia="黑体" w:cs="黑体"/>
          <w:b w:val="0"/>
          <w:bCs w:val="0"/>
          <w:color w:val="000000"/>
          <w:kern w:val="32"/>
          <w:sz w:val="32"/>
          <w:szCs w:val="32"/>
          <w:highlight w:val="none"/>
          <w:lang w:val="en-US" w:eastAsia="zh-CN"/>
        </w:rPr>
        <w:t>优化日发电计划和AGC考核</w:t>
      </w:r>
    </w:p>
    <w:p w14:paraId="1DBFB95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w:t>
      </w:r>
      <w:r>
        <w:rPr>
          <w:rFonts w:hint="eastAsia" w:ascii="楷体_GB2312" w:hAnsi="楷体_GB2312" w:eastAsia="楷体_GB2312" w:cs="楷体_GB2312"/>
          <w:b w:val="0"/>
          <w:bCs w:val="0"/>
          <w:color w:val="auto"/>
          <w:kern w:val="2"/>
          <w:sz w:val="32"/>
          <w:szCs w:val="32"/>
          <w:highlight w:val="none"/>
          <w:lang w:val="en-US" w:eastAsia="zh-CN" w:bidi="ar-SA"/>
        </w:rPr>
        <w:t>优化新能源日发电计划考核。</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highlight w:val="none"/>
          <w:lang w:val="en-US" w:eastAsia="zh-CN" w:bidi="ar-SA"/>
        </w:rPr>
        <w:t>综合考虑风光资源波动较大的特点，参考全国大部分网省新能源日发电计划执行要求，将新能源日发电计划考核目标由“每分钟电力值”调整为“每15分钟现货出清电量”</w:t>
      </w:r>
      <w:r>
        <w:rPr>
          <w:rFonts w:hint="eastAsia" w:ascii="Times New Roman" w:hAnsi="Times New Roman" w:cs="Times New Roman"/>
          <w:b w:val="0"/>
          <w:bCs w:val="0"/>
          <w:color w:val="auto"/>
          <w:kern w:val="2"/>
          <w:sz w:val="32"/>
          <w:szCs w:val="32"/>
          <w:highlight w:val="none"/>
          <w:lang w:val="en-US" w:eastAsia="zh-CN" w:bidi="ar-SA"/>
        </w:rPr>
        <w:t>，将</w:t>
      </w:r>
      <w:r>
        <w:rPr>
          <w:rFonts w:hint="default" w:ascii="Times New Roman" w:hAnsi="Times New Roman" w:eastAsia="仿宋_GB2312" w:cs="Times New Roman"/>
          <w:b w:val="0"/>
          <w:bCs w:val="0"/>
          <w:color w:val="auto"/>
          <w:kern w:val="2"/>
          <w:sz w:val="32"/>
          <w:szCs w:val="32"/>
          <w:highlight w:val="none"/>
          <w:lang w:val="en-US" w:eastAsia="zh-CN" w:bidi="ar-SA"/>
        </w:rPr>
        <w:t>新能源单位装机日发电计划考核电量降低至原来的20%；</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为防范预测偏高对电网安全的不利影响，适当加大新能源日发电计划欠发考核；</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考虑新能源全面入市初期的适应性，新增新能源场站日发电计划考核电量不</w:t>
      </w:r>
      <w:r>
        <w:rPr>
          <w:rFonts w:hint="eastAsia" w:ascii="Times New Roman" w:hAnsi="Times New Roman" w:cs="Times New Roman"/>
          <w:b w:val="0"/>
          <w:bCs w:val="0"/>
          <w:color w:val="auto"/>
          <w:kern w:val="2"/>
          <w:sz w:val="32"/>
          <w:szCs w:val="32"/>
          <w:highlight w:val="none"/>
          <w:lang w:val="en-US" w:eastAsia="zh-CN" w:bidi="ar-SA"/>
        </w:rPr>
        <w:t>超过</w:t>
      </w:r>
      <w:r>
        <w:rPr>
          <w:rFonts w:hint="default" w:ascii="Times New Roman" w:hAnsi="Times New Roman" w:eastAsia="仿宋_GB2312" w:cs="Times New Roman"/>
          <w:b w:val="0"/>
          <w:bCs w:val="0"/>
          <w:color w:val="auto"/>
          <w:kern w:val="2"/>
          <w:sz w:val="32"/>
          <w:szCs w:val="32"/>
          <w:highlight w:val="none"/>
          <w:lang w:val="en-US" w:eastAsia="zh-CN" w:bidi="ar-SA"/>
        </w:rPr>
        <w:t>当月上网电量的限制，随着现货市场深入，逐步放开上述限制。</w:t>
      </w:r>
    </w:p>
    <w:p w14:paraId="72FCEF88">
      <w:pPr>
        <w:pStyle w:val="4"/>
        <w:spacing w:line="560" w:lineRule="exact"/>
        <w:rPr>
          <w:rFonts w:hint="default" w:ascii="Times New Roman" w:hAnsi="Times New Roman" w:eastAsia="仿宋_GB2312" w:cs="Times New Roman"/>
          <w:b/>
          <w:bCs/>
          <w:color w:val="auto"/>
          <w:kern w:val="2"/>
          <w:sz w:val="32"/>
          <w:szCs w:val="32"/>
          <w:highlight w:val="none"/>
          <w:lang w:val="en-US" w:eastAsia="zh-CN" w:bidi="ar-SA"/>
        </w:rPr>
      </w:pPr>
      <w:r>
        <w:rPr>
          <w:rFonts w:hint="eastAsia" w:cs="楷体_GB2312"/>
          <w:b w:val="0"/>
          <w:bCs w:val="0"/>
          <w:color w:val="auto"/>
          <w:kern w:val="2"/>
          <w:sz w:val="32"/>
          <w:szCs w:val="32"/>
          <w:highlight w:val="none"/>
          <w:lang w:val="en-US" w:eastAsia="zh-CN" w:bidi="ar-SA"/>
        </w:rPr>
        <w:t>（二）</w:t>
      </w:r>
      <w:r>
        <w:rPr>
          <w:rFonts w:hint="default" w:ascii="楷体_GB2312" w:hAnsi="楷体_GB2312" w:eastAsia="楷体_GB2312" w:cs="楷体_GB2312"/>
          <w:b w:val="0"/>
          <w:bCs w:val="0"/>
          <w:color w:val="auto"/>
          <w:kern w:val="2"/>
          <w:sz w:val="32"/>
          <w:szCs w:val="32"/>
          <w:highlight w:val="none"/>
          <w:lang w:val="en-US" w:eastAsia="zh-CN" w:bidi="ar-SA"/>
        </w:rPr>
        <w:t>优化日发电计划考核费用与考核返还原则。</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highlight w:val="none"/>
          <w:lang w:val="en-US" w:eastAsia="zh-CN" w:bidi="ar-SA"/>
        </w:rPr>
        <w:t>进一步确保现货市场出清结果刚性执行，</w:t>
      </w:r>
      <w:r>
        <w:rPr>
          <w:rFonts w:hint="default" w:ascii="Times New Roman" w:hAnsi="Times New Roman" w:eastAsia="仿宋_GB2312" w:cs="Times New Roman"/>
          <w:b w:val="0"/>
          <w:color w:val="auto"/>
          <w:kern w:val="2"/>
          <w:sz w:val="32"/>
          <w:szCs w:val="32"/>
          <w:highlight w:val="none"/>
          <w:lang w:val="en-US" w:eastAsia="zh-CN"/>
        </w:rPr>
        <w:t>日发电计划</w:t>
      </w:r>
      <w:r>
        <w:rPr>
          <w:rFonts w:hint="default" w:ascii="Times New Roman" w:hAnsi="Times New Roman" w:eastAsia="仿宋_GB2312" w:cs="Times New Roman"/>
          <w:b w:val="0"/>
          <w:color w:val="auto"/>
          <w:kern w:val="2"/>
          <w:sz w:val="32"/>
          <w:szCs w:val="32"/>
          <w:highlight w:val="none"/>
        </w:rPr>
        <w:t>考核费用</w:t>
      </w:r>
      <w:r>
        <w:rPr>
          <w:rFonts w:hint="default" w:ascii="Times New Roman" w:hAnsi="Times New Roman" w:eastAsia="仿宋_GB2312" w:cs="Times New Roman"/>
          <w:b w:val="0"/>
          <w:color w:val="auto"/>
          <w:kern w:val="2"/>
          <w:sz w:val="32"/>
          <w:szCs w:val="32"/>
          <w:highlight w:val="none"/>
          <w:lang w:val="en-US" w:eastAsia="zh-CN"/>
        </w:rPr>
        <w:t>与当月现货市场出清电价挂钩，</w:t>
      </w:r>
      <w:r>
        <w:rPr>
          <w:rFonts w:hint="default" w:ascii="Times New Roman" w:hAnsi="Times New Roman" w:eastAsia="仿宋_GB2312" w:cs="Times New Roman"/>
          <w:b w:val="0"/>
          <w:color w:val="auto"/>
          <w:kern w:val="2"/>
          <w:sz w:val="32"/>
          <w:szCs w:val="32"/>
          <w:highlight w:val="none"/>
        </w:rPr>
        <w:t>按照四川燃煤发电基准价</w:t>
      </w:r>
      <w:r>
        <w:rPr>
          <w:rFonts w:hint="default" w:ascii="Times New Roman" w:hAnsi="Times New Roman" w:eastAsia="仿宋_GB2312" w:cs="Times New Roman"/>
          <w:b w:val="0"/>
          <w:color w:val="auto"/>
          <w:kern w:val="2"/>
          <w:sz w:val="32"/>
          <w:szCs w:val="32"/>
          <w:highlight w:val="none"/>
          <w:lang w:val="en-US" w:eastAsia="zh-CN"/>
        </w:rPr>
        <w:t>和当月实时现货市场出清最高价的最小值执行；</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考虑各类电源调节性能差异，</w:t>
      </w:r>
      <w:r>
        <w:rPr>
          <w:rFonts w:hint="default" w:ascii="Times New Roman" w:hAnsi="Times New Roman" w:eastAsia="仿宋_GB2312" w:cs="Times New Roman"/>
          <w:b w:val="0"/>
          <w:color w:val="auto"/>
          <w:kern w:val="2"/>
          <w:sz w:val="32"/>
          <w:szCs w:val="32"/>
          <w:highlight w:val="none"/>
          <w:lang w:val="en-US" w:eastAsia="zh-CN"/>
        </w:rPr>
        <w:t>日发电计划</w:t>
      </w:r>
      <w:r>
        <w:rPr>
          <w:rFonts w:hint="default" w:ascii="Times New Roman" w:hAnsi="Times New Roman" w:eastAsia="仿宋_GB2312" w:cs="Times New Roman"/>
          <w:b w:val="0"/>
          <w:color w:val="auto"/>
          <w:kern w:val="2"/>
          <w:sz w:val="32"/>
          <w:szCs w:val="32"/>
          <w:highlight w:val="none"/>
        </w:rPr>
        <w:t>考核费用</w:t>
      </w:r>
      <w:r>
        <w:rPr>
          <w:rFonts w:hint="default" w:ascii="Times New Roman" w:hAnsi="Times New Roman" w:eastAsia="仿宋_GB2312" w:cs="Times New Roman"/>
          <w:b w:val="0"/>
          <w:color w:val="auto"/>
          <w:kern w:val="2"/>
          <w:sz w:val="32"/>
          <w:szCs w:val="32"/>
          <w:highlight w:val="none"/>
          <w:lang w:val="en-US" w:eastAsia="zh-CN"/>
        </w:rPr>
        <w:t>由“所有并网主体月度上网电量占比进行返还”调整为“</w:t>
      </w:r>
      <w:r>
        <w:rPr>
          <w:rFonts w:hint="default" w:ascii="Times New Roman" w:hAnsi="Times New Roman" w:eastAsia="仿宋_GB2312" w:cs="Times New Roman"/>
          <w:b w:val="0"/>
          <w:color w:val="auto"/>
          <w:kern w:val="2"/>
          <w:sz w:val="32"/>
          <w:szCs w:val="32"/>
          <w:highlight w:val="none"/>
        </w:rPr>
        <w:t>按照</w:t>
      </w:r>
      <w:r>
        <w:rPr>
          <w:rFonts w:hint="default" w:ascii="Times New Roman" w:hAnsi="Times New Roman" w:eastAsia="仿宋_GB2312" w:cs="Times New Roman"/>
          <w:b w:val="0"/>
          <w:color w:val="auto"/>
          <w:kern w:val="2"/>
          <w:sz w:val="32"/>
          <w:szCs w:val="32"/>
          <w:highlight w:val="none"/>
          <w:lang w:val="en-US" w:eastAsia="zh-CN"/>
        </w:rPr>
        <w:t>水、火、新能源和独立储能月度上网电量占比分别进行返还”。</w:t>
      </w:r>
    </w:p>
    <w:p w14:paraId="096957E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w:t>
      </w:r>
      <w:r>
        <w:rPr>
          <w:rFonts w:hint="default" w:ascii="楷体_GB2312" w:hAnsi="楷体_GB2312" w:eastAsia="楷体_GB2312" w:cs="楷体_GB2312"/>
          <w:b w:val="0"/>
          <w:bCs w:val="0"/>
          <w:color w:val="auto"/>
          <w:kern w:val="2"/>
          <w:sz w:val="32"/>
          <w:szCs w:val="32"/>
          <w:highlight w:val="none"/>
          <w:lang w:val="en-US" w:eastAsia="zh-CN" w:bidi="ar-SA"/>
        </w:rPr>
        <w:t>优化AGC考核设置。</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highlight w:val="none"/>
          <w:lang w:val="en-US" w:eastAsia="zh-CN" w:bidi="ar-SA"/>
        </w:rPr>
        <w:t>结合现货市场运行需要，避免与日发电计划考核重复考核，明确参与现货市场的电厂AGC性能考核仅考核调节精度，不考核调节速率与响应时间；</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kern w:val="2"/>
          <w:sz w:val="32"/>
          <w:szCs w:val="32"/>
          <w:highlight w:val="none"/>
          <w:lang w:val="en-US" w:eastAsia="zh-CN" w:bidi="ar-SA"/>
        </w:rPr>
        <w:t>根据最新国家行业标准，结合现货市场对AGC运行需要，调整调节精度考核标准，考核计算标准由“按照额定装机量”调整为“按照单次有效调节过程调节幅度”；</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val="0"/>
          <w:bCs w:val="0"/>
          <w:color w:val="auto"/>
          <w:kern w:val="2"/>
          <w:sz w:val="32"/>
          <w:szCs w:val="32"/>
          <w:highlight w:val="none"/>
          <w:lang w:val="en-US" w:eastAsia="zh-CN" w:bidi="ar-SA"/>
        </w:rPr>
        <w:t>为促进各类并网主体性能提升，采纳修改意见，新增各类并网主体AGC性能考核量上限。</w:t>
      </w:r>
    </w:p>
    <w:p w14:paraId="5D300002">
      <w:pPr>
        <w:keepNext w:val="0"/>
        <w:keepLines w:val="0"/>
        <w:pageBreakBefore w:val="0"/>
        <w:widowControl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黑体" w:hAnsi="黑体" w:eastAsia="黑体" w:cs="黑体"/>
          <w:b w:val="0"/>
          <w:bCs w:val="0"/>
          <w:color w:val="000000"/>
          <w:kern w:val="32"/>
          <w:sz w:val="32"/>
          <w:szCs w:val="32"/>
          <w:highlight w:val="none"/>
          <w:lang w:val="en-US" w:eastAsia="zh-CN"/>
        </w:rPr>
      </w:pPr>
      <w:r>
        <w:rPr>
          <w:rFonts w:hint="eastAsia" w:ascii="黑体" w:hAnsi="黑体" w:eastAsia="黑体" w:cs="黑体"/>
          <w:b w:val="0"/>
          <w:bCs w:val="0"/>
          <w:color w:val="000000"/>
          <w:kern w:val="32"/>
          <w:sz w:val="32"/>
          <w:szCs w:val="32"/>
          <w:highlight w:val="none"/>
          <w:lang w:val="en-US" w:eastAsia="zh-CN"/>
        </w:rPr>
        <w:t>四、</w:t>
      </w:r>
      <w:r>
        <w:rPr>
          <w:rFonts w:hint="default" w:ascii="黑体" w:hAnsi="黑体" w:eastAsia="黑体" w:cs="黑体"/>
          <w:b w:val="0"/>
          <w:bCs w:val="0"/>
          <w:color w:val="000000"/>
          <w:kern w:val="32"/>
          <w:sz w:val="32"/>
          <w:szCs w:val="32"/>
          <w:highlight w:val="none"/>
          <w:lang w:val="en-US" w:eastAsia="zh-CN"/>
        </w:rPr>
        <w:t>优化部分考核项</w:t>
      </w:r>
    </w:p>
    <w:p w14:paraId="6F0D5AE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优化</w:t>
      </w:r>
      <w:r>
        <w:rPr>
          <w:rFonts w:hint="eastAsia" w:ascii="Times New Roman" w:hAnsi="Times New Roman" w:cs="Times New Roman"/>
          <w:b w:val="0"/>
          <w:bCs w:val="0"/>
          <w:color w:val="auto"/>
          <w:kern w:val="2"/>
          <w:sz w:val="32"/>
          <w:szCs w:val="32"/>
          <w:highlight w:val="none"/>
          <w:lang w:val="en-US" w:eastAsia="zh-CN" w:bidi="ar-SA"/>
        </w:rPr>
        <w:t>了</w:t>
      </w:r>
      <w:r>
        <w:rPr>
          <w:rFonts w:hint="default" w:ascii="Times New Roman" w:hAnsi="Times New Roman" w:eastAsia="仿宋_GB2312" w:cs="Times New Roman"/>
          <w:b w:val="0"/>
          <w:bCs w:val="0"/>
          <w:color w:val="auto"/>
          <w:kern w:val="2"/>
          <w:sz w:val="32"/>
          <w:szCs w:val="32"/>
          <w:highlight w:val="none"/>
          <w:lang w:val="en-US" w:eastAsia="zh-CN" w:bidi="ar-SA"/>
        </w:rPr>
        <w:t>部分重点考核项。</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kern w:val="2"/>
          <w:sz w:val="32"/>
          <w:szCs w:val="32"/>
          <w:highlight w:val="none"/>
          <w:lang w:val="en-US" w:eastAsia="zh-CN" w:bidi="ar-SA"/>
        </w:rPr>
        <w:t>为深度融合现货系统对预测结果的需求，取消与现货市场运行关联度较小的新能源相关性系数、日前预测上报率、理论功率考核；</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val="0"/>
          <w:bCs w:val="0"/>
          <w:color w:val="auto"/>
          <w:sz w:val="32"/>
          <w:szCs w:val="32"/>
          <w:highlight w:val="none"/>
          <w:lang w:val="en-US"/>
        </w:rPr>
        <w:t>光伏功率预测准确率计算方式修改为仅计算发电时段，剔除夜间未发电无效时段，</w:t>
      </w:r>
      <w:r>
        <w:rPr>
          <w:rFonts w:hint="default" w:ascii="Times New Roman" w:hAnsi="Times New Roman" w:eastAsia="仿宋_GB2312" w:cs="Times New Roman"/>
          <w:b w:val="0"/>
          <w:bCs w:val="0"/>
          <w:color w:val="auto"/>
          <w:sz w:val="32"/>
          <w:szCs w:val="32"/>
          <w:highlight w:val="none"/>
          <w:lang w:val="en-US" w:eastAsia="zh-CN"/>
        </w:rPr>
        <w:t>可进一步</w:t>
      </w:r>
      <w:r>
        <w:rPr>
          <w:rFonts w:hint="default" w:ascii="Times New Roman" w:hAnsi="Times New Roman" w:eastAsia="仿宋_GB2312" w:cs="Times New Roman"/>
          <w:b w:val="0"/>
          <w:bCs w:val="0"/>
          <w:color w:val="auto"/>
          <w:sz w:val="32"/>
          <w:szCs w:val="32"/>
          <w:highlight w:val="none"/>
          <w:lang w:val="en-US"/>
        </w:rPr>
        <w:t>真实反映光伏预测水平</w:t>
      </w:r>
      <w:r>
        <w:rPr>
          <w:rFonts w:hint="default" w:ascii="Times New Roman" w:hAnsi="Times New Roman" w:eastAsia="仿宋_GB2312" w:cs="Times New Roman"/>
          <w:b w:val="0"/>
          <w:bCs w:val="0"/>
          <w:color w:val="auto"/>
          <w:sz w:val="32"/>
          <w:szCs w:val="32"/>
          <w:highlight w:val="none"/>
          <w:lang w:val="en-US" w:eastAsia="zh-CN"/>
        </w:rPr>
        <w:t>，同时结合现货市场对未来三日日前预测、未来四小时超短期预测结果的需求，同步</w:t>
      </w:r>
      <w:r>
        <w:rPr>
          <w:rFonts w:hint="default" w:ascii="Times New Roman" w:hAnsi="Times New Roman" w:eastAsia="仿宋_GB2312" w:cs="Times New Roman"/>
          <w:b w:val="0"/>
          <w:bCs w:val="0"/>
          <w:color w:val="auto"/>
          <w:sz w:val="32"/>
          <w:szCs w:val="32"/>
          <w:highlight w:val="none"/>
          <w:lang w:val="en-US"/>
        </w:rPr>
        <w:t>调整新能源日前预测、超短期预测的预测点覆盖度；</w:t>
      </w:r>
      <w:r>
        <w:rPr>
          <w:rFonts w:hint="default" w:ascii="Times New Roman" w:hAnsi="Times New Roman" w:eastAsia="仿宋_GB2312" w:cs="Times New Roman"/>
          <w:b/>
          <w:bCs/>
          <w:color w:val="auto"/>
          <w:sz w:val="32"/>
          <w:szCs w:val="32"/>
          <w:highlight w:val="none"/>
          <w:lang w:val="en-US"/>
        </w:rPr>
        <w:t>三是</w:t>
      </w:r>
      <w:r>
        <w:rPr>
          <w:rFonts w:hint="default" w:ascii="Times New Roman" w:hAnsi="Times New Roman" w:eastAsia="仿宋_GB2312" w:cs="Times New Roman"/>
          <w:b w:val="0"/>
          <w:bCs w:val="0"/>
          <w:color w:val="auto"/>
          <w:sz w:val="32"/>
          <w:szCs w:val="32"/>
          <w:highlight w:val="none"/>
          <w:lang w:val="en-US" w:eastAsia="zh-CN"/>
        </w:rPr>
        <w:t>为保障现货市场日前日内水电耦合出清结果具有较高执行性，提升电站日前日内96点区间流量准确率，故</w:t>
      </w:r>
      <w:r>
        <w:rPr>
          <w:rFonts w:hint="default" w:ascii="Times New Roman" w:hAnsi="Times New Roman" w:eastAsia="仿宋_GB2312" w:cs="Times New Roman"/>
          <w:b w:val="0"/>
          <w:bCs w:val="0"/>
          <w:color w:val="auto"/>
          <w:sz w:val="32"/>
          <w:szCs w:val="32"/>
          <w:highlight w:val="none"/>
          <w:lang w:val="en-US"/>
        </w:rPr>
        <w:t>新增水电站96点区间来水预测管理考核内容，</w:t>
      </w:r>
      <w:r>
        <w:rPr>
          <w:rFonts w:hint="default" w:ascii="Times New Roman" w:hAnsi="Times New Roman" w:eastAsia="仿宋_GB2312" w:cs="Times New Roman"/>
          <w:b w:val="0"/>
          <w:bCs w:val="0"/>
          <w:color w:val="auto"/>
          <w:sz w:val="32"/>
          <w:szCs w:val="32"/>
          <w:highlight w:val="none"/>
          <w:lang w:val="en-US" w:eastAsia="zh-CN"/>
        </w:rPr>
        <w:t>同时为</w:t>
      </w:r>
      <w:r>
        <w:rPr>
          <w:rFonts w:hint="default" w:ascii="Times New Roman" w:hAnsi="Times New Roman" w:eastAsia="仿宋_GB2312" w:cs="Times New Roman"/>
          <w:b w:val="0"/>
          <w:bCs w:val="0"/>
          <w:color w:val="auto"/>
          <w:sz w:val="32"/>
          <w:szCs w:val="32"/>
          <w:highlight w:val="none"/>
          <w:lang w:val="en-US"/>
        </w:rPr>
        <w:t>规避天然来水流量还原对电站预测准确率的干扰，</w:t>
      </w:r>
      <w:r>
        <w:rPr>
          <w:rFonts w:hint="default" w:ascii="Times New Roman" w:hAnsi="Times New Roman" w:eastAsia="仿宋_GB2312" w:cs="Times New Roman"/>
          <w:b w:val="0"/>
          <w:bCs w:val="0"/>
          <w:color w:val="auto"/>
          <w:sz w:val="32"/>
          <w:szCs w:val="32"/>
          <w:highlight w:val="none"/>
          <w:lang w:val="en-US" w:eastAsia="zh-CN"/>
        </w:rPr>
        <w:t>并</w:t>
      </w:r>
      <w:r>
        <w:rPr>
          <w:rFonts w:hint="default" w:ascii="Times New Roman" w:hAnsi="Times New Roman" w:eastAsia="仿宋_GB2312" w:cs="Times New Roman"/>
          <w:b w:val="0"/>
          <w:bCs w:val="0"/>
          <w:color w:val="auto"/>
          <w:sz w:val="32"/>
          <w:szCs w:val="32"/>
          <w:highlight w:val="none"/>
          <w:lang w:val="en-US"/>
        </w:rPr>
        <w:t>聚焦近三日及十日预测</w:t>
      </w:r>
      <w:r>
        <w:rPr>
          <w:rFonts w:hint="default" w:ascii="Times New Roman" w:hAnsi="Times New Roman" w:eastAsia="仿宋_GB2312" w:cs="Times New Roman"/>
          <w:b w:val="0"/>
          <w:bCs w:val="0"/>
          <w:color w:val="auto"/>
          <w:sz w:val="32"/>
          <w:szCs w:val="32"/>
          <w:highlight w:val="none"/>
          <w:lang w:val="en-US" w:eastAsia="zh-CN"/>
        </w:rPr>
        <w:t>准确率</w:t>
      </w:r>
      <w:r>
        <w:rPr>
          <w:rFonts w:hint="default" w:ascii="Times New Roman" w:hAnsi="Times New Roman" w:eastAsia="仿宋_GB2312" w:cs="Times New Roman"/>
          <w:b w:val="0"/>
          <w:bCs w:val="0"/>
          <w:color w:val="auto"/>
          <w:sz w:val="32"/>
          <w:szCs w:val="32"/>
          <w:highlight w:val="none"/>
          <w:lang w:val="en-US"/>
        </w:rPr>
        <w:t>，</w:t>
      </w:r>
      <w:r>
        <w:rPr>
          <w:rFonts w:hint="default" w:ascii="Times New Roman" w:hAnsi="Times New Roman" w:eastAsia="仿宋_GB2312" w:cs="Times New Roman"/>
          <w:b w:val="0"/>
          <w:bCs w:val="0"/>
          <w:color w:val="auto"/>
          <w:sz w:val="32"/>
          <w:szCs w:val="32"/>
          <w:highlight w:val="none"/>
          <w:lang w:val="en-US" w:eastAsia="zh-CN"/>
        </w:rPr>
        <w:t>故</w:t>
      </w:r>
      <w:r>
        <w:rPr>
          <w:rFonts w:hint="default" w:ascii="Times New Roman" w:hAnsi="Times New Roman" w:eastAsia="仿宋_GB2312" w:cs="Times New Roman"/>
          <w:b w:val="0"/>
          <w:bCs w:val="0"/>
          <w:color w:val="auto"/>
          <w:sz w:val="32"/>
          <w:szCs w:val="32"/>
          <w:highlight w:val="none"/>
          <w:lang w:val="en-US"/>
        </w:rPr>
        <w:t>优化未来 10 日水电来水预测技术要求</w:t>
      </w:r>
      <w:bookmarkStart w:id="0" w:name="_GoBack"/>
      <w:r>
        <w:rPr>
          <w:rFonts w:hint="eastAsia" w:ascii="Times New Roman" w:hAnsi="Times New Roman" w:cs="Times New Roman"/>
          <w:b w:val="0"/>
          <w:bCs w:val="0"/>
          <w:color w:val="auto"/>
          <w:sz w:val="32"/>
          <w:szCs w:val="32"/>
          <w:highlight w:val="none"/>
          <w:lang w:val="en-US" w:eastAsia="zh-CN"/>
        </w:rPr>
        <w:t>；</w:t>
      </w:r>
      <w:bookmarkEnd w:id="0"/>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b w:val="0"/>
          <w:bCs w:val="0"/>
          <w:color w:val="auto"/>
          <w:kern w:val="2"/>
          <w:sz w:val="32"/>
          <w:szCs w:val="32"/>
          <w:highlight w:val="none"/>
          <w:lang w:val="en-US" w:eastAsia="zh-CN" w:bidi="ar-SA"/>
        </w:rPr>
        <w:t>优化非计划停运考核公式和系数，合理设置不同时长区间非计划停运考核量。针对新能源和生物质电厂特性，取消新能源电厂集电线路非计划停运考核和生物质电厂非保供期非计划停运考核。</w:t>
      </w:r>
    </w:p>
    <w:p w14:paraId="4719B41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0" w:firstLineChars="0"/>
        <w:jc w:val="left"/>
        <w:textAlignment w:val="auto"/>
        <w:rPr>
          <w:rFonts w:hint="default" w:ascii="Times New Roman" w:hAnsi="Times New Roman" w:eastAsia="仿宋_GB2312" w:cs="Times New Roman"/>
          <w:b w:val="0"/>
          <w:bCs w:val="0"/>
          <w:color w:val="000000"/>
          <w:kern w:val="32"/>
          <w:sz w:val="32"/>
          <w:szCs w:val="32"/>
          <w:lang w:val="en-US" w:eastAsia="zh-CN"/>
        </w:rPr>
      </w:pPr>
    </w:p>
    <w:p w14:paraId="46B149B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sectPr>
      <w:footerReference r:id="rId5"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FAF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A48B4">
                          <w:pPr>
                            <w:pStyle w:val="10"/>
                          </w:pPr>
                          <w:r>
                            <w:fldChar w:fldCharType="begin"/>
                          </w:r>
                          <w:r>
                            <w:instrText xml:space="preserve"> PAGE  \* MERGEFORMAT </w:instrText>
                          </w:r>
                          <w:r>
                            <w:fldChar w:fldCharType="separate"/>
                          </w:r>
                          <w:r>
                            <w:t>- 8 -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397A48B4">
                    <w:pPr>
                      <w:pStyle w:val="10"/>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TQ0MDIxYzIwYzEzMWI4ODNkMDlkZTdhYzE1NjkifQ=="/>
  </w:docVars>
  <w:rsids>
    <w:rsidRoot w:val="00172A27"/>
    <w:rsid w:val="0000443A"/>
    <w:rsid w:val="00041E63"/>
    <w:rsid w:val="001F0BCF"/>
    <w:rsid w:val="00207CAE"/>
    <w:rsid w:val="003B0934"/>
    <w:rsid w:val="003E1AF2"/>
    <w:rsid w:val="004E4D76"/>
    <w:rsid w:val="00592AF0"/>
    <w:rsid w:val="006B107F"/>
    <w:rsid w:val="006B43DB"/>
    <w:rsid w:val="00725433"/>
    <w:rsid w:val="0075105B"/>
    <w:rsid w:val="007A5C4F"/>
    <w:rsid w:val="007F255A"/>
    <w:rsid w:val="00924BA5"/>
    <w:rsid w:val="00A21DC4"/>
    <w:rsid w:val="00B30B00"/>
    <w:rsid w:val="00D44451"/>
    <w:rsid w:val="00E76567"/>
    <w:rsid w:val="010A7474"/>
    <w:rsid w:val="01500600"/>
    <w:rsid w:val="01DF070A"/>
    <w:rsid w:val="02064F99"/>
    <w:rsid w:val="02D43D62"/>
    <w:rsid w:val="03304CEA"/>
    <w:rsid w:val="03547F3F"/>
    <w:rsid w:val="03993FDF"/>
    <w:rsid w:val="043D6C25"/>
    <w:rsid w:val="04573CF5"/>
    <w:rsid w:val="0463574E"/>
    <w:rsid w:val="04B334F0"/>
    <w:rsid w:val="04C425F6"/>
    <w:rsid w:val="04D56EF7"/>
    <w:rsid w:val="04E87765"/>
    <w:rsid w:val="05A232D1"/>
    <w:rsid w:val="05A8046C"/>
    <w:rsid w:val="060142EA"/>
    <w:rsid w:val="06563BAB"/>
    <w:rsid w:val="065D2D11"/>
    <w:rsid w:val="06687050"/>
    <w:rsid w:val="07076A7F"/>
    <w:rsid w:val="07834C3A"/>
    <w:rsid w:val="0794465D"/>
    <w:rsid w:val="07B8465C"/>
    <w:rsid w:val="07BB6F03"/>
    <w:rsid w:val="07CD0F41"/>
    <w:rsid w:val="07E62BDA"/>
    <w:rsid w:val="0805063E"/>
    <w:rsid w:val="08365E65"/>
    <w:rsid w:val="084F24D1"/>
    <w:rsid w:val="086C372C"/>
    <w:rsid w:val="08A74FB5"/>
    <w:rsid w:val="08BB636A"/>
    <w:rsid w:val="08CF4A17"/>
    <w:rsid w:val="08ED601F"/>
    <w:rsid w:val="08F55D20"/>
    <w:rsid w:val="09181A0E"/>
    <w:rsid w:val="09244CC8"/>
    <w:rsid w:val="093A2299"/>
    <w:rsid w:val="099428F9"/>
    <w:rsid w:val="0995039F"/>
    <w:rsid w:val="09A9071A"/>
    <w:rsid w:val="0A51342A"/>
    <w:rsid w:val="0A706FBE"/>
    <w:rsid w:val="0A851326"/>
    <w:rsid w:val="0AB87C7F"/>
    <w:rsid w:val="0AC51722"/>
    <w:rsid w:val="0AC75312"/>
    <w:rsid w:val="0ADB0905"/>
    <w:rsid w:val="0B837751"/>
    <w:rsid w:val="0BC11EE9"/>
    <w:rsid w:val="0BC639A4"/>
    <w:rsid w:val="0BCD29F2"/>
    <w:rsid w:val="0C1B2F88"/>
    <w:rsid w:val="0C6E18F2"/>
    <w:rsid w:val="0C6F7B97"/>
    <w:rsid w:val="0C9D1D4C"/>
    <w:rsid w:val="0CBF6B65"/>
    <w:rsid w:val="0CDB34E0"/>
    <w:rsid w:val="0D197D97"/>
    <w:rsid w:val="0D9C0969"/>
    <w:rsid w:val="0DCD57B3"/>
    <w:rsid w:val="0DE33DF3"/>
    <w:rsid w:val="0E106453"/>
    <w:rsid w:val="0E463665"/>
    <w:rsid w:val="0E76345F"/>
    <w:rsid w:val="0EDA4E8C"/>
    <w:rsid w:val="0F2F0FF6"/>
    <w:rsid w:val="0F30112D"/>
    <w:rsid w:val="0F6C75A4"/>
    <w:rsid w:val="0FA3496A"/>
    <w:rsid w:val="0FD94476"/>
    <w:rsid w:val="0FF23ECE"/>
    <w:rsid w:val="104273B0"/>
    <w:rsid w:val="108B0D18"/>
    <w:rsid w:val="108D2EB5"/>
    <w:rsid w:val="10AF2C58"/>
    <w:rsid w:val="10D215FD"/>
    <w:rsid w:val="10D96A83"/>
    <w:rsid w:val="112D3D88"/>
    <w:rsid w:val="11A15AE1"/>
    <w:rsid w:val="11BD75F7"/>
    <w:rsid w:val="12633CFA"/>
    <w:rsid w:val="12723B3F"/>
    <w:rsid w:val="12964B6E"/>
    <w:rsid w:val="13B63891"/>
    <w:rsid w:val="145315E4"/>
    <w:rsid w:val="148D61E8"/>
    <w:rsid w:val="14B00C14"/>
    <w:rsid w:val="14F450C2"/>
    <w:rsid w:val="154324EC"/>
    <w:rsid w:val="15655E4B"/>
    <w:rsid w:val="156721CE"/>
    <w:rsid w:val="156C55BC"/>
    <w:rsid w:val="16482A04"/>
    <w:rsid w:val="166A066B"/>
    <w:rsid w:val="16922719"/>
    <w:rsid w:val="16B014D8"/>
    <w:rsid w:val="16B234A2"/>
    <w:rsid w:val="170A4CC0"/>
    <w:rsid w:val="17DF02C7"/>
    <w:rsid w:val="180F562E"/>
    <w:rsid w:val="18167A91"/>
    <w:rsid w:val="186C19E9"/>
    <w:rsid w:val="18743CE7"/>
    <w:rsid w:val="18B40702"/>
    <w:rsid w:val="18C60658"/>
    <w:rsid w:val="18D1535A"/>
    <w:rsid w:val="18DE5A14"/>
    <w:rsid w:val="18F14CF0"/>
    <w:rsid w:val="194407F8"/>
    <w:rsid w:val="1955455A"/>
    <w:rsid w:val="199C1387"/>
    <w:rsid w:val="19A8293B"/>
    <w:rsid w:val="19D61F5A"/>
    <w:rsid w:val="1A1C031A"/>
    <w:rsid w:val="1A8011C2"/>
    <w:rsid w:val="1AC8400A"/>
    <w:rsid w:val="1B28788F"/>
    <w:rsid w:val="1B496BA6"/>
    <w:rsid w:val="1B625388"/>
    <w:rsid w:val="1B9D6221"/>
    <w:rsid w:val="1BCF22BC"/>
    <w:rsid w:val="1BFE6F9E"/>
    <w:rsid w:val="1C0F69C4"/>
    <w:rsid w:val="1C204E6B"/>
    <w:rsid w:val="1C5548E9"/>
    <w:rsid w:val="1CA309AE"/>
    <w:rsid w:val="1CE819CC"/>
    <w:rsid w:val="1D3C1D18"/>
    <w:rsid w:val="1D594678"/>
    <w:rsid w:val="1D7B00EB"/>
    <w:rsid w:val="1DA53275"/>
    <w:rsid w:val="1DA653DA"/>
    <w:rsid w:val="1DC170D9"/>
    <w:rsid w:val="1DCC65AA"/>
    <w:rsid w:val="1DD24BFC"/>
    <w:rsid w:val="1DDF665C"/>
    <w:rsid w:val="1E4C7426"/>
    <w:rsid w:val="1E567DA7"/>
    <w:rsid w:val="1EA210C2"/>
    <w:rsid w:val="1EA94B17"/>
    <w:rsid w:val="1EC15EB9"/>
    <w:rsid w:val="1ECC0D4A"/>
    <w:rsid w:val="1EE23AC8"/>
    <w:rsid w:val="1EF12392"/>
    <w:rsid w:val="1FA57441"/>
    <w:rsid w:val="1FAC6E9A"/>
    <w:rsid w:val="1FD53A73"/>
    <w:rsid w:val="1FD61FB0"/>
    <w:rsid w:val="1FD77AD6"/>
    <w:rsid w:val="1FE3302E"/>
    <w:rsid w:val="20001E79"/>
    <w:rsid w:val="2031368A"/>
    <w:rsid w:val="203A3B39"/>
    <w:rsid w:val="20A94E3B"/>
    <w:rsid w:val="21403E51"/>
    <w:rsid w:val="21B30412"/>
    <w:rsid w:val="21DA706E"/>
    <w:rsid w:val="21E02E2A"/>
    <w:rsid w:val="21FA4AE9"/>
    <w:rsid w:val="221A7FA7"/>
    <w:rsid w:val="221E7C3E"/>
    <w:rsid w:val="22221496"/>
    <w:rsid w:val="226112E1"/>
    <w:rsid w:val="22AA0FD6"/>
    <w:rsid w:val="22AC2B5D"/>
    <w:rsid w:val="22CA1B74"/>
    <w:rsid w:val="22EC7098"/>
    <w:rsid w:val="23446EF2"/>
    <w:rsid w:val="23713E4B"/>
    <w:rsid w:val="238E6E7D"/>
    <w:rsid w:val="23A3115D"/>
    <w:rsid w:val="23A979DB"/>
    <w:rsid w:val="23CB6BBC"/>
    <w:rsid w:val="23FF50A2"/>
    <w:rsid w:val="240579C5"/>
    <w:rsid w:val="240E7215"/>
    <w:rsid w:val="2419493C"/>
    <w:rsid w:val="24A76309"/>
    <w:rsid w:val="24B3611F"/>
    <w:rsid w:val="24D16104"/>
    <w:rsid w:val="24E05F5C"/>
    <w:rsid w:val="24E1078F"/>
    <w:rsid w:val="24F37160"/>
    <w:rsid w:val="25045C86"/>
    <w:rsid w:val="253024AD"/>
    <w:rsid w:val="253D03DB"/>
    <w:rsid w:val="254A4E96"/>
    <w:rsid w:val="25784759"/>
    <w:rsid w:val="25AF7329"/>
    <w:rsid w:val="25B52667"/>
    <w:rsid w:val="26947C40"/>
    <w:rsid w:val="26B24DF9"/>
    <w:rsid w:val="27795556"/>
    <w:rsid w:val="283E3104"/>
    <w:rsid w:val="28506677"/>
    <w:rsid w:val="28650375"/>
    <w:rsid w:val="28A6273B"/>
    <w:rsid w:val="28A8200F"/>
    <w:rsid w:val="28C17575"/>
    <w:rsid w:val="291B7B80"/>
    <w:rsid w:val="294F5552"/>
    <w:rsid w:val="29AA404C"/>
    <w:rsid w:val="29B80978"/>
    <w:rsid w:val="29C76E0D"/>
    <w:rsid w:val="2A2D2F9C"/>
    <w:rsid w:val="2A2F013A"/>
    <w:rsid w:val="2A420242"/>
    <w:rsid w:val="2A4C0C95"/>
    <w:rsid w:val="2A643A13"/>
    <w:rsid w:val="2A9036A3"/>
    <w:rsid w:val="2B0D3EDE"/>
    <w:rsid w:val="2B572754"/>
    <w:rsid w:val="2B7446A2"/>
    <w:rsid w:val="2BC3142C"/>
    <w:rsid w:val="2BFD6B16"/>
    <w:rsid w:val="2C9A5FED"/>
    <w:rsid w:val="2CAE0906"/>
    <w:rsid w:val="2D5E2416"/>
    <w:rsid w:val="2D8223B4"/>
    <w:rsid w:val="2DA33405"/>
    <w:rsid w:val="2DB62D2F"/>
    <w:rsid w:val="2DC378EB"/>
    <w:rsid w:val="2DE7182C"/>
    <w:rsid w:val="2E073606"/>
    <w:rsid w:val="2E3365E2"/>
    <w:rsid w:val="2E4004CC"/>
    <w:rsid w:val="2E55518C"/>
    <w:rsid w:val="2E8315EC"/>
    <w:rsid w:val="2E8E614B"/>
    <w:rsid w:val="2E972AED"/>
    <w:rsid w:val="2F01691D"/>
    <w:rsid w:val="2F252AD8"/>
    <w:rsid w:val="2F7470F0"/>
    <w:rsid w:val="2F9C1A71"/>
    <w:rsid w:val="305B205D"/>
    <w:rsid w:val="306233EC"/>
    <w:rsid w:val="30EA3353"/>
    <w:rsid w:val="310A686B"/>
    <w:rsid w:val="310D61D0"/>
    <w:rsid w:val="311268E7"/>
    <w:rsid w:val="313C59EB"/>
    <w:rsid w:val="322016C6"/>
    <w:rsid w:val="324F0ABB"/>
    <w:rsid w:val="326903A1"/>
    <w:rsid w:val="32A225F4"/>
    <w:rsid w:val="33062754"/>
    <w:rsid w:val="3329254E"/>
    <w:rsid w:val="33296443"/>
    <w:rsid w:val="335148E2"/>
    <w:rsid w:val="3390201E"/>
    <w:rsid w:val="33A46E93"/>
    <w:rsid w:val="340E1B81"/>
    <w:rsid w:val="346F4698"/>
    <w:rsid w:val="3494378A"/>
    <w:rsid w:val="34D61C7F"/>
    <w:rsid w:val="34EC238A"/>
    <w:rsid w:val="352F58E8"/>
    <w:rsid w:val="35CA0D85"/>
    <w:rsid w:val="362F1FC2"/>
    <w:rsid w:val="364A4EBE"/>
    <w:rsid w:val="36955EA8"/>
    <w:rsid w:val="36AA789A"/>
    <w:rsid w:val="373D070E"/>
    <w:rsid w:val="3749679F"/>
    <w:rsid w:val="376E6F69"/>
    <w:rsid w:val="37725FC5"/>
    <w:rsid w:val="377F2AD5"/>
    <w:rsid w:val="37B76787"/>
    <w:rsid w:val="37C66ADD"/>
    <w:rsid w:val="37ED5C91"/>
    <w:rsid w:val="37F0752F"/>
    <w:rsid w:val="37FB6462"/>
    <w:rsid w:val="38740160"/>
    <w:rsid w:val="387D6447"/>
    <w:rsid w:val="388078D8"/>
    <w:rsid w:val="38A071A7"/>
    <w:rsid w:val="39225E0E"/>
    <w:rsid w:val="39730417"/>
    <w:rsid w:val="39795919"/>
    <w:rsid w:val="39F106CD"/>
    <w:rsid w:val="3A2044B9"/>
    <w:rsid w:val="3A3967FC"/>
    <w:rsid w:val="3A426528"/>
    <w:rsid w:val="3AB25548"/>
    <w:rsid w:val="3B264B7E"/>
    <w:rsid w:val="3B274B39"/>
    <w:rsid w:val="3B831FE7"/>
    <w:rsid w:val="3BB545D4"/>
    <w:rsid w:val="3C0F2EDB"/>
    <w:rsid w:val="3C426E02"/>
    <w:rsid w:val="3C56321A"/>
    <w:rsid w:val="3C9F61CF"/>
    <w:rsid w:val="3D1E68EC"/>
    <w:rsid w:val="3DA037A5"/>
    <w:rsid w:val="3DBB05DB"/>
    <w:rsid w:val="3E0F3F52"/>
    <w:rsid w:val="3E1D57D1"/>
    <w:rsid w:val="3E5B7DFE"/>
    <w:rsid w:val="3E703177"/>
    <w:rsid w:val="3E733E0D"/>
    <w:rsid w:val="3E7C2670"/>
    <w:rsid w:val="3EB95820"/>
    <w:rsid w:val="3EE21C80"/>
    <w:rsid w:val="3F303FB4"/>
    <w:rsid w:val="3F4D5739"/>
    <w:rsid w:val="3F710F55"/>
    <w:rsid w:val="3FBB0A84"/>
    <w:rsid w:val="3FFDE4D4"/>
    <w:rsid w:val="3FFF4431"/>
    <w:rsid w:val="40A8087E"/>
    <w:rsid w:val="40A92971"/>
    <w:rsid w:val="414A7CB0"/>
    <w:rsid w:val="41794299"/>
    <w:rsid w:val="41B82E6B"/>
    <w:rsid w:val="41EA4FEF"/>
    <w:rsid w:val="421614A8"/>
    <w:rsid w:val="421D719D"/>
    <w:rsid w:val="422F3D72"/>
    <w:rsid w:val="423A57B9"/>
    <w:rsid w:val="425D7EB7"/>
    <w:rsid w:val="43176339"/>
    <w:rsid w:val="436C1AC8"/>
    <w:rsid w:val="4390075B"/>
    <w:rsid w:val="43A870D2"/>
    <w:rsid w:val="43CC30F4"/>
    <w:rsid w:val="43E403E6"/>
    <w:rsid w:val="43F5563F"/>
    <w:rsid w:val="440B793C"/>
    <w:rsid w:val="4418634B"/>
    <w:rsid w:val="445B7C11"/>
    <w:rsid w:val="447D017A"/>
    <w:rsid w:val="44BA44F6"/>
    <w:rsid w:val="44D73812"/>
    <w:rsid w:val="4514085D"/>
    <w:rsid w:val="45571F4C"/>
    <w:rsid w:val="45B46D6D"/>
    <w:rsid w:val="462705C0"/>
    <w:rsid w:val="46364CA7"/>
    <w:rsid w:val="46AF7692"/>
    <w:rsid w:val="46DB13AA"/>
    <w:rsid w:val="46E20293"/>
    <w:rsid w:val="47D72AC7"/>
    <w:rsid w:val="48580F04"/>
    <w:rsid w:val="487235EB"/>
    <w:rsid w:val="48A61A9B"/>
    <w:rsid w:val="4921579A"/>
    <w:rsid w:val="496D45F2"/>
    <w:rsid w:val="498F589A"/>
    <w:rsid w:val="49DB1315"/>
    <w:rsid w:val="49EF1DDD"/>
    <w:rsid w:val="4A006CFA"/>
    <w:rsid w:val="4A01538E"/>
    <w:rsid w:val="4A1A591D"/>
    <w:rsid w:val="4A1F0312"/>
    <w:rsid w:val="4A5E2A1E"/>
    <w:rsid w:val="4A921003"/>
    <w:rsid w:val="4A9F5E3B"/>
    <w:rsid w:val="4AB64639"/>
    <w:rsid w:val="4AB73C84"/>
    <w:rsid w:val="4AC07235"/>
    <w:rsid w:val="4B1B2807"/>
    <w:rsid w:val="4B834AF2"/>
    <w:rsid w:val="4BB85A0B"/>
    <w:rsid w:val="4BBA5B04"/>
    <w:rsid w:val="4BD92E8B"/>
    <w:rsid w:val="4C0F3FD0"/>
    <w:rsid w:val="4C165835"/>
    <w:rsid w:val="4C194E4E"/>
    <w:rsid w:val="4D151ABA"/>
    <w:rsid w:val="4DAC3404"/>
    <w:rsid w:val="4E492EB3"/>
    <w:rsid w:val="4E84407F"/>
    <w:rsid w:val="4E974ADF"/>
    <w:rsid w:val="4E9D1D67"/>
    <w:rsid w:val="4EA05DE5"/>
    <w:rsid w:val="4EBD54AE"/>
    <w:rsid w:val="4ED77C21"/>
    <w:rsid w:val="4F34320C"/>
    <w:rsid w:val="4FD74E04"/>
    <w:rsid w:val="50210776"/>
    <w:rsid w:val="50526126"/>
    <w:rsid w:val="506803D7"/>
    <w:rsid w:val="507A19A7"/>
    <w:rsid w:val="507F1269"/>
    <w:rsid w:val="51142AEA"/>
    <w:rsid w:val="51566BAA"/>
    <w:rsid w:val="51761FDE"/>
    <w:rsid w:val="51893F58"/>
    <w:rsid w:val="51A32658"/>
    <w:rsid w:val="5254412B"/>
    <w:rsid w:val="52C3281E"/>
    <w:rsid w:val="53125DA5"/>
    <w:rsid w:val="53206AC2"/>
    <w:rsid w:val="53456422"/>
    <w:rsid w:val="537D3123"/>
    <w:rsid w:val="53894668"/>
    <w:rsid w:val="53CD5ADF"/>
    <w:rsid w:val="53D81B0C"/>
    <w:rsid w:val="53E76E94"/>
    <w:rsid w:val="540E54DB"/>
    <w:rsid w:val="54C61BAA"/>
    <w:rsid w:val="54E25472"/>
    <w:rsid w:val="54EC61FB"/>
    <w:rsid w:val="55115317"/>
    <w:rsid w:val="556172BF"/>
    <w:rsid w:val="55A25899"/>
    <w:rsid w:val="55AF412E"/>
    <w:rsid w:val="55FA6CE9"/>
    <w:rsid w:val="56070711"/>
    <w:rsid w:val="56486A5C"/>
    <w:rsid w:val="566A58B8"/>
    <w:rsid w:val="56757AC2"/>
    <w:rsid w:val="568A67AF"/>
    <w:rsid w:val="568B6949"/>
    <w:rsid w:val="56FB274A"/>
    <w:rsid w:val="57417F16"/>
    <w:rsid w:val="575162F8"/>
    <w:rsid w:val="57864187"/>
    <w:rsid w:val="57C62C77"/>
    <w:rsid w:val="57CB2A94"/>
    <w:rsid w:val="58094378"/>
    <w:rsid w:val="583566F6"/>
    <w:rsid w:val="58486B41"/>
    <w:rsid w:val="5892400D"/>
    <w:rsid w:val="589F0489"/>
    <w:rsid w:val="58FBCAFA"/>
    <w:rsid w:val="593C4DED"/>
    <w:rsid w:val="59701ECC"/>
    <w:rsid w:val="5A5A2C0D"/>
    <w:rsid w:val="5A987160"/>
    <w:rsid w:val="5B060C3F"/>
    <w:rsid w:val="5B531E43"/>
    <w:rsid w:val="5B9E711E"/>
    <w:rsid w:val="5BE94E8C"/>
    <w:rsid w:val="5BFFCFFD"/>
    <w:rsid w:val="5C2342FD"/>
    <w:rsid w:val="5C272C70"/>
    <w:rsid w:val="5C4701C1"/>
    <w:rsid w:val="5C5B6DA5"/>
    <w:rsid w:val="5C62639E"/>
    <w:rsid w:val="5C711CBA"/>
    <w:rsid w:val="5CBE67E6"/>
    <w:rsid w:val="5CD3327A"/>
    <w:rsid w:val="5CD34BA6"/>
    <w:rsid w:val="5CFD7E74"/>
    <w:rsid w:val="5D342569"/>
    <w:rsid w:val="5D437F7D"/>
    <w:rsid w:val="5D55249C"/>
    <w:rsid w:val="5D7A40C7"/>
    <w:rsid w:val="5D9F1375"/>
    <w:rsid w:val="5DC664B8"/>
    <w:rsid w:val="5E9143CD"/>
    <w:rsid w:val="5EAF5C0D"/>
    <w:rsid w:val="5EFD1D4D"/>
    <w:rsid w:val="5F107B83"/>
    <w:rsid w:val="5FCF78A6"/>
    <w:rsid w:val="5FE338AF"/>
    <w:rsid w:val="5FE377F5"/>
    <w:rsid w:val="5FEC48FC"/>
    <w:rsid w:val="604E0776"/>
    <w:rsid w:val="609603C4"/>
    <w:rsid w:val="60AA1714"/>
    <w:rsid w:val="60BD35DF"/>
    <w:rsid w:val="60CB4A5D"/>
    <w:rsid w:val="60D64DE2"/>
    <w:rsid w:val="6122434D"/>
    <w:rsid w:val="612A1D8E"/>
    <w:rsid w:val="613025C6"/>
    <w:rsid w:val="61646714"/>
    <w:rsid w:val="61677179"/>
    <w:rsid w:val="617B416B"/>
    <w:rsid w:val="617D3332"/>
    <w:rsid w:val="61947C35"/>
    <w:rsid w:val="61C92E7F"/>
    <w:rsid w:val="61F25E63"/>
    <w:rsid w:val="623240D3"/>
    <w:rsid w:val="62885249"/>
    <w:rsid w:val="628E44C2"/>
    <w:rsid w:val="629B555C"/>
    <w:rsid w:val="62B31767"/>
    <w:rsid w:val="62C03E1E"/>
    <w:rsid w:val="62EC29D7"/>
    <w:rsid w:val="631363A0"/>
    <w:rsid w:val="635B267A"/>
    <w:rsid w:val="6369505F"/>
    <w:rsid w:val="639967B6"/>
    <w:rsid w:val="63A11466"/>
    <w:rsid w:val="63C70422"/>
    <w:rsid w:val="64076DD0"/>
    <w:rsid w:val="64173FC8"/>
    <w:rsid w:val="646B31C9"/>
    <w:rsid w:val="64A82DBC"/>
    <w:rsid w:val="64B051F1"/>
    <w:rsid w:val="64E0276F"/>
    <w:rsid w:val="64EC6567"/>
    <w:rsid w:val="64ED54B2"/>
    <w:rsid w:val="657004AF"/>
    <w:rsid w:val="65905D2A"/>
    <w:rsid w:val="65ED4F2A"/>
    <w:rsid w:val="66090452"/>
    <w:rsid w:val="660D1A91"/>
    <w:rsid w:val="663B67D3"/>
    <w:rsid w:val="663C1A0D"/>
    <w:rsid w:val="66771D72"/>
    <w:rsid w:val="66A03D4A"/>
    <w:rsid w:val="66BB60B6"/>
    <w:rsid w:val="66F220C1"/>
    <w:rsid w:val="670F2FB6"/>
    <w:rsid w:val="672C7CD4"/>
    <w:rsid w:val="67DF01AE"/>
    <w:rsid w:val="67F6252A"/>
    <w:rsid w:val="680F707C"/>
    <w:rsid w:val="6810626B"/>
    <w:rsid w:val="68680898"/>
    <w:rsid w:val="689C52CA"/>
    <w:rsid w:val="68A35648"/>
    <w:rsid w:val="68D91796"/>
    <w:rsid w:val="68ED3493"/>
    <w:rsid w:val="68ED4B9A"/>
    <w:rsid w:val="6930572F"/>
    <w:rsid w:val="698E4E6D"/>
    <w:rsid w:val="699A1A8E"/>
    <w:rsid w:val="69F75EF0"/>
    <w:rsid w:val="6A492CBD"/>
    <w:rsid w:val="6A5A73C4"/>
    <w:rsid w:val="6A6E5F0E"/>
    <w:rsid w:val="6A9950DE"/>
    <w:rsid w:val="6AA95198"/>
    <w:rsid w:val="6B517D09"/>
    <w:rsid w:val="6B610780"/>
    <w:rsid w:val="6BE80E9E"/>
    <w:rsid w:val="6C0279BB"/>
    <w:rsid w:val="6C16074E"/>
    <w:rsid w:val="6C225202"/>
    <w:rsid w:val="6C4D4AD3"/>
    <w:rsid w:val="6C874A09"/>
    <w:rsid w:val="6CA16A6E"/>
    <w:rsid w:val="6CA607CB"/>
    <w:rsid w:val="6CC272F8"/>
    <w:rsid w:val="6D3D723E"/>
    <w:rsid w:val="6DBE59DF"/>
    <w:rsid w:val="6DEF91F4"/>
    <w:rsid w:val="6E1F7C4B"/>
    <w:rsid w:val="6E2E1DCE"/>
    <w:rsid w:val="6E8937B6"/>
    <w:rsid w:val="6E9A19C7"/>
    <w:rsid w:val="6F2139BE"/>
    <w:rsid w:val="6F4A4B7D"/>
    <w:rsid w:val="6F675DD1"/>
    <w:rsid w:val="6F701FBB"/>
    <w:rsid w:val="6F9E6F8F"/>
    <w:rsid w:val="6FF70753"/>
    <w:rsid w:val="6FFD0740"/>
    <w:rsid w:val="6FFF97DA"/>
    <w:rsid w:val="70262366"/>
    <w:rsid w:val="706C274C"/>
    <w:rsid w:val="70A9313E"/>
    <w:rsid w:val="70FE283F"/>
    <w:rsid w:val="711772FF"/>
    <w:rsid w:val="71342BCF"/>
    <w:rsid w:val="713B4BBF"/>
    <w:rsid w:val="718A3708"/>
    <w:rsid w:val="7191042B"/>
    <w:rsid w:val="719C7804"/>
    <w:rsid w:val="71D64AC4"/>
    <w:rsid w:val="71E72C94"/>
    <w:rsid w:val="72111FA0"/>
    <w:rsid w:val="726B7C50"/>
    <w:rsid w:val="72C506DA"/>
    <w:rsid w:val="72D96AE2"/>
    <w:rsid w:val="73085D88"/>
    <w:rsid w:val="73291D2D"/>
    <w:rsid w:val="733F2107"/>
    <w:rsid w:val="736C0ED5"/>
    <w:rsid w:val="73734595"/>
    <w:rsid w:val="738B71AD"/>
    <w:rsid w:val="73A330CC"/>
    <w:rsid w:val="73E6607A"/>
    <w:rsid w:val="74806440"/>
    <w:rsid w:val="74845FBD"/>
    <w:rsid w:val="748E3CA1"/>
    <w:rsid w:val="748F54F9"/>
    <w:rsid w:val="74D01480"/>
    <w:rsid w:val="75401B9F"/>
    <w:rsid w:val="754E4CB6"/>
    <w:rsid w:val="757944DF"/>
    <w:rsid w:val="75826D11"/>
    <w:rsid w:val="75AA0EB2"/>
    <w:rsid w:val="75C03082"/>
    <w:rsid w:val="75F87CD4"/>
    <w:rsid w:val="76165DE5"/>
    <w:rsid w:val="766703E1"/>
    <w:rsid w:val="76685F07"/>
    <w:rsid w:val="768C12C1"/>
    <w:rsid w:val="76D73560"/>
    <w:rsid w:val="775C420F"/>
    <w:rsid w:val="776B2153"/>
    <w:rsid w:val="78454752"/>
    <w:rsid w:val="78584AF2"/>
    <w:rsid w:val="79192E14"/>
    <w:rsid w:val="79413A08"/>
    <w:rsid w:val="7986677F"/>
    <w:rsid w:val="79902155"/>
    <w:rsid w:val="79990805"/>
    <w:rsid w:val="79DA711C"/>
    <w:rsid w:val="7A082901"/>
    <w:rsid w:val="7A8D1A4C"/>
    <w:rsid w:val="7AAA2F92"/>
    <w:rsid w:val="7AC676A0"/>
    <w:rsid w:val="7AFFD844"/>
    <w:rsid w:val="7B137599"/>
    <w:rsid w:val="7B19123E"/>
    <w:rsid w:val="7B2E35E9"/>
    <w:rsid w:val="7B476A33"/>
    <w:rsid w:val="7BCE62D7"/>
    <w:rsid w:val="7CE359F9"/>
    <w:rsid w:val="7D142945"/>
    <w:rsid w:val="7D870A4C"/>
    <w:rsid w:val="7D8C2E23"/>
    <w:rsid w:val="7DC46119"/>
    <w:rsid w:val="7DF618C6"/>
    <w:rsid w:val="7E0D4B98"/>
    <w:rsid w:val="7E1D3A7B"/>
    <w:rsid w:val="7E2D2FAE"/>
    <w:rsid w:val="7E485326"/>
    <w:rsid w:val="7E4C11B9"/>
    <w:rsid w:val="7E611BB9"/>
    <w:rsid w:val="7E9C6A01"/>
    <w:rsid w:val="7F0A2F09"/>
    <w:rsid w:val="7F0B2E9E"/>
    <w:rsid w:val="7F1B3120"/>
    <w:rsid w:val="7F1F2E08"/>
    <w:rsid w:val="7FD73D57"/>
    <w:rsid w:val="7FFFA1FE"/>
    <w:rsid w:val="9BEEE40B"/>
    <w:rsid w:val="A79F0387"/>
    <w:rsid w:val="B5EF56EF"/>
    <w:rsid w:val="BF3710E3"/>
    <w:rsid w:val="FEFFB1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仿宋_GB2312"/>
      <w:kern w:val="2"/>
      <w:sz w:val="32"/>
      <w:szCs w:val="24"/>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ind w:firstLine="0" w:firstLineChars="0"/>
      <w:outlineLvl w:val="0"/>
    </w:pPr>
    <w:rPr>
      <w:rFonts w:ascii="方正小标宋简体" w:hAnsi="方正小标宋简体" w:eastAsia="方正小标宋简体" w:cs="方正小标宋简体"/>
      <w:b w:val="0"/>
      <w:kern w:val="44"/>
      <w:sz w:val="44"/>
      <w:szCs w:val="36"/>
    </w:rPr>
  </w:style>
  <w:style w:type="paragraph" w:styleId="4">
    <w:name w:val="heading 2"/>
    <w:basedOn w:val="1"/>
    <w:next w:val="1"/>
    <w:qFormat/>
    <w:uiPriority w:val="0"/>
    <w:pPr>
      <w:keepNext/>
      <w:keepLines/>
      <w:spacing w:beforeLines="0" w:beforeAutospacing="0" w:afterLines="0" w:afterAutospacing="0" w:line="600" w:lineRule="exact"/>
      <w:outlineLvl w:val="1"/>
    </w:pPr>
    <w:rPr>
      <w:rFonts w:ascii="楷体_GB2312" w:hAnsi="楷体_GB2312" w:eastAsia="楷体_GB2312" w:cs="楷体_GB2312"/>
      <w:b/>
      <w:sz w:val="32"/>
    </w:rPr>
  </w:style>
  <w:style w:type="paragraph" w:styleId="5">
    <w:name w:val="heading 3"/>
    <w:basedOn w:val="1"/>
    <w:next w:val="1"/>
    <w:qFormat/>
    <w:uiPriority w:val="0"/>
    <w:pPr>
      <w:keepNext/>
      <w:keepLines/>
      <w:spacing w:beforeLines="0" w:beforeAutospacing="0" w:afterLines="0" w:afterAutospacing="0" w:line="560" w:lineRule="exact"/>
      <w:ind w:firstLine="880" w:firstLineChars="200"/>
      <w:outlineLvl w:val="2"/>
    </w:pPr>
    <w:rPr>
      <w:rFonts w:ascii="黑体" w:hAnsi="黑体" w:eastAsia="黑体" w:cs="黑体"/>
    </w:rPr>
  </w:style>
  <w:style w:type="character" w:default="1" w:styleId="17">
    <w:name w:val="Default Paragraph Font"/>
    <w:semiHidden/>
    <w:uiPriority w:val="0"/>
    <w:rPr>
      <w:rFonts w:ascii="楷体_GB2312" w:hAnsi="楷体_GB2312" w:eastAsia="楷体_GB2312"/>
      <w:b/>
      <w:sz w:val="32"/>
    </w:rPr>
  </w:style>
  <w:style w:type="table" w:default="1" w:styleId="1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Indent"/>
    <w:basedOn w:val="1"/>
    <w:next w:val="1"/>
    <w:unhideWhenUsed/>
    <w:qFormat/>
    <w:uiPriority w:val="99"/>
    <w:pPr>
      <w:ind w:firstLine="420" w:firstLineChars="200"/>
    </w:pPr>
    <w:rPr>
      <w:rFonts w:ascii="宋体"/>
    </w:rPr>
  </w:style>
  <w:style w:type="paragraph" w:styleId="7">
    <w:name w:val="Body Text"/>
    <w:basedOn w:val="1"/>
    <w:next w:val="8"/>
    <w:uiPriority w:val="0"/>
    <w:pPr>
      <w:jc w:val="center"/>
    </w:pPr>
    <w:rPr>
      <w:rFonts w:ascii="Times New Roman" w:hAnsi="Times New Roman" w:cs="Times New Roman"/>
      <w:sz w:val="44"/>
      <w:szCs w:val="24"/>
      <w:lang w:bidi="ar-SA"/>
    </w:rPr>
  </w:style>
  <w:style w:type="paragraph" w:styleId="8">
    <w:name w:val="toc 5"/>
    <w:basedOn w:val="1"/>
    <w:next w:val="1"/>
    <w:qFormat/>
    <w:uiPriority w:val="0"/>
    <w:pPr>
      <w:ind w:left="1680"/>
    </w:pPr>
    <w:rPr>
      <w:sz w:val="21"/>
    </w:rPr>
  </w:style>
  <w:style w:type="paragraph" w:styleId="9">
    <w:name w:val="toc 3"/>
    <w:basedOn w:val="1"/>
    <w:next w:val="1"/>
    <w:qFormat/>
    <w:uiPriority w:val="0"/>
    <w:pPr>
      <w:ind w:left="840" w:leftChars="400"/>
    </w:pPr>
    <w:rPr>
      <w:rFonts w:eastAsia="宋体"/>
    </w:rPr>
  </w:style>
  <w:style w:type="paragraph" w:styleId="10">
    <w:name w:val="footer"/>
    <w:basedOn w:val="1"/>
    <w:uiPriority w:val="0"/>
    <w:pPr>
      <w:tabs>
        <w:tab w:val="center" w:pos="4153"/>
        <w:tab w:val="right" w:pos="8306"/>
      </w:tabs>
      <w:snapToGrid w:val="0"/>
      <w:ind w:left="320" w:leftChars="100" w:right="320" w:rightChars="100" w:firstLine="0" w:firstLineChars="0"/>
      <w:jc w:val="both"/>
    </w:pPr>
    <w:rPr>
      <w:rFonts w:ascii="宋体" w:hAnsi="宋体" w:eastAsia="宋体"/>
      <w:sz w:val="2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pacing w:line="600" w:lineRule="exact"/>
    </w:pPr>
    <w:rPr>
      <w:rFonts w:ascii="黑体" w:hAnsi="黑体" w:eastAsia="黑体"/>
    </w:rPr>
  </w:style>
  <w:style w:type="paragraph" w:styleId="13">
    <w:name w:val="footnote text"/>
    <w:basedOn w:val="1"/>
    <w:qFormat/>
    <w:uiPriority w:val="0"/>
    <w:pPr>
      <w:snapToGrid w:val="0"/>
      <w:jc w:val="left"/>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qFormat/>
    <w:uiPriority w:val="0"/>
    <w:rPr>
      <w:vertAlign w:val="superscript"/>
    </w:rPr>
  </w:style>
  <w:style w:type="character" w:customStyle="1" w:styleId="19">
    <w:name w:val="font31"/>
    <w:uiPriority w:val="0"/>
    <w:rPr>
      <w:rFonts w:hint="eastAsia" w:ascii="宋体" w:hAnsi="宋体" w:eastAsia="宋体" w:cs="宋体"/>
      <w:color w:val="000000"/>
      <w:sz w:val="21"/>
      <w:szCs w:val="21"/>
      <w:u w:val="none"/>
    </w:rPr>
  </w:style>
  <w:style w:type="character" w:customStyle="1" w:styleId="20">
    <w:name w:val="font51"/>
    <w:qFormat/>
    <w:uiPriority w:val="0"/>
    <w:rPr>
      <w:rFonts w:hint="default" w:ascii="Times New Roman" w:hAnsi="Times New Roman" w:cs="Times New Roman"/>
      <w:b/>
      <w:bCs/>
      <w:color w:val="000000"/>
      <w:sz w:val="21"/>
      <w:szCs w:val="21"/>
      <w:u w:val="none"/>
    </w:rPr>
  </w:style>
  <w:style w:type="character" w:customStyle="1" w:styleId="21">
    <w:name w:val="font41"/>
    <w:qFormat/>
    <w:uiPriority w:val="0"/>
    <w:rPr>
      <w:rFonts w:hint="default" w:ascii="Times New Roman" w:hAnsi="Times New Roman" w:cs="Times New Roman"/>
      <w:color w:val="000000"/>
      <w:sz w:val="21"/>
      <w:szCs w:val="21"/>
      <w:u w:val="none"/>
    </w:rPr>
  </w:style>
  <w:style w:type="character" w:customStyle="1" w:styleId="22">
    <w:name w:val="font11"/>
    <w:qFormat/>
    <w:uiPriority w:val="0"/>
    <w:rPr>
      <w:rFonts w:hint="eastAsia" w:ascii="宋体" w:hAnsi="宋体" w:eastAsia="宋体" w:cs="宋体"/>
      <w:b/>
      <w:bCs/>
      <w:color w:val="000000"/>
      <w:sz w:val="21"/>
      <w:szCs w:val="21"/>
      <w:u w:val="none"/>
    </w:rPr>
  </w:style>
  <w:style w:type="paragraph" w:customStyle="1" w:styleId="23">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24">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5">
    <w:name w:val="正文 New New"/>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82006-089a-448d-9cb8-e36ae79963ce}">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Pages>
  <Words>1498</Words>
  <Characters>1525</Characters>
  <Lines>7</Lines>
  <Paragraphs>2</Paragraphs>
  <TotalTime>12</TotalTime>
  <ScaleCrop>false</ScaleCrop>
  <LinksUpToDate>false</LinksUpToDate>
  <CharactersWithSpaces>1531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zhaoxinlei</dc:creator>
  <cp:lastModifiedBy>biao</cp:lastModifiedBy>
  <cp:lastPrinted>2022-10-18T11:38:00Z</cp:lastPrinted>
  <dcterms:modified xsi:type="dcterms:W3CDTF">2026-05-21T07:47:19Z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846590FBAD0248BAA700A2790778D010_13</vt:lpwstr>
  </property>
  <property fmtid="{D5CDD505-2E9C-101B-9397-08002B2CF9AE}" pid="4" name="KSOTemplateDocerSaveRecord">
    <vt:lpwstr>eyJoZGlkIjoiNjI3MjkyNjg1ZGRhNmFhYjI5ZWNhMWMxMTg1ZmQ2NDIiLCJ1c2VySWQiOiIyNTI0MjE0NDUifQ==</vt:lpwstr>
  </property>
</Properties>
</file>